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040"/>
      </w:tblGrid>
      <w:tr w:rsidR="0086720A" w:rsidRPr="003522DA" w14:paraId="5A7548B3" w14:textId="77777777" w:rsidTr="00E8270B">
        <w:trPr>
          <w:trHeight w:val="580"/>
        </w:trPr>
        <w:tc>
          <w:tcPr>
            <w:tcW w:w="4608" w:type="dxa"/>
            <w:shd w:val="clear" w:color="auto" w:fill="auto"/>
          </w:tcPr>
          <w:p w14:paraId="53454437" w14:textId="77777777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14:paraId="2356C4DA" w14:textId="77777777" w:rsidR="000F3B76" w:rsidRPr="000F3B76" w:rsidRDefault="000F3B76" w:rsidP="00E8270B">
            <w:pPr>
              <w:widowControl w:val="0"/>
              <w:ind w:left="779"/>
              <w:rPr>
                <w:b/>
                <w:snapToGrid w:val="0"/>
                <w:sz w:val="28"/>
                <w:szCs w:val="28"/>
              </w:rPr>
            </w:pPr>
            <w:r w:rsidRPr="000F3B76">
              <w:rPr>
                <w:b/>
                <w:snapToGrid w:val="0"/>
                <w:sz w:val="28"/>
                <w:szCs w:val="28"/>
              </w:rPr>
              <w:t>УТВЕРЖДЕНА</w:t>
            </w:r>
          </w:p>
          <w:p w14:paraId="52CAB4FD" w14:textId="77777777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 xml:space="preserve">Приказом Председателя </w:t>
            </w:r>
          </w:p>
          <w:p w14:paraId="458E26ED" w14:textId="77777777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 xml:space="preserve">РГУ «Комитет медицинского и </w:t>
            </w:r>
          </w:p>
          <w:p w14:paraId="797823D7" w14:textId="77777777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>фармацевтического контроля</w:t>
            </w:r>
          </w:p>
          <w:p w14:paraId="1103F5D4" w14:textId="77777777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 xml:space="preserve">Министерства здравоохранения </w:t>
            </w:r>
          </w:p>
          <w:p w14:paraId="5FFA9045" w14:textId="77777777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>Республики Казахстан»</w:t>
            </w:r>
          </w:p>
          <w:p w14:paraId="2A7D8122" w14:textId="1F7EC459" w:rsidR="000F3B76" w:rsidRPr="000F3B76" w:rsidRDefault="000F3B76" w:rsidP="00E8270B">
            <w:pPr>
              <w:widowControl w:val="0"/>
              <w:ind w:left="779"/>
              <w:rPr>
                <w:bCs/>
                <w:snapToGrid w:val="0"/>
                <w:sz w:val="28"/>
                <w:szCs w:val="28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>от «</w:t>
            </w:r>
            <w:proofErr w:type="gramStart"/>
            <w:r w:rsidR="006C6FED">
              <w:rPr>
                <w:bCs/>
                <w:snapToGrid w:val="0"/>
                <w:sz w:val="28"/>
                <w:szCs w:val="28"/>
                <w:lang w:val="en-US"/>
              </w:rPr>
              <w:t>02</w:t>
            </w:r>
            <w:r w:rsidRPr="000F3B76">
              <w:rPr>
                <w:bCs/>
                <w:snapToGrid w:val="0"/>
                <w:sz w:val="28"/>
                <w:szCs w:val="28"/>
              </w:rPr>
              <w:t>»</w:t>
            </w:r>
            <w:r w:rsidR="006C6FED">
              <w:rPr>
                <w:bCs/>
                <w:snapToGrid w:val="0"/>
                <w:sz w:val="28"/>
                <w:szCs w:val="28"/>
                <w:lang w:val="en-US"/>
              </w:rPr>
              <w:t xml:space="preserve">  05</w:t>
            </w:r>
            <w:proofErr w:type="gramEnd"/>
            <w:r w:rsidR="006C6FED">
              <w:rPr>
                <w:bCs/>
                <w:snapToGrid w:val="0"/>
                <w:sz w:val="28"/>
                <w:szCs w:val="28"/>
                <w:lang w:val="en-US"/>
              </w:rPr>
              <w:t xml:space="preserve">    </w:t>
            </w:r>
            <w:r w:rsidRPr="000F3B76">
              <w:rPr>
                <w:bCs/>
                <w:snapToGrid w:val="0"/>
                <w:sz w:val="28"/>
                <w:szCs w:val="28"/>
              </w:rPr>
              <w:t>20</w:t>
            </w:r>
            <w:r w:rsidR="006C6FED">
              <w:rPr>
                <w:bCs/>
                <w:snapToGrid w:val="0"/>
                <w:sz w:val="28"/>
                <w:szCs w:val="28"/>
                <w:lang w:val="en-US"/>
              </w:rPr>
              <w:t xml:space="preserve">23 </w:t>
            </w:r>
            <w:r w:rsidRPr="000F3B76">
              <w:rPr>
                <w:bCs/>
                <w:snapToGrid w:val="0"/>
                <w:sz w:val="28"/>
                <w:szCs w:val="28"/>
              </w:rPr>
              <w:t>г.</w:t>
            </w:r>
          </w:p>
          <w:p w14:paraId="2BCFB591" w14:textId="6A72C135" w:rsidR="0086720A" w:rsidRPr="006C6FED" w:rsidRDefault="000F3B76" w:rsidP="00E8270B">
            <w:pPr>
              <w:autoSpaceDE w:val="0"/>
              <w:autoSpaceDN w:val="0"/>
              <w:ind w:left="779"/>
              <w:rPr>
                <w:szCs w:val="24"/>
                <w:lang w:val="en-US"/>
              </w:rPr>
            </w:pPr>
            <w:r w:rsidRPr="000F3B76">
              <w:rPr>
                <w:bCs/>
                <w:snapToGrid w:val="0"/>
                <w:sz w:val="28"/>
                <w:szCs w:val="28"/>
              </w:rPr>
              <w:t xml:space="preserve">№ </w:t>
            </w:r>
            <w:r w:rsidR="006C6FED">
              <w:rPr>
                <w:bCs/>
                <w:snapToGrid w:val="0"/>
                <w:sz w:val="28"/>
                <w:szCs w:val="28"/>
                <w:lang w:val="en-US"/>
              </w:rPr>
              <w:t>N062893</w:t>
            </w:r>
          </w:p>
        </w:tc>
      </w:tr>
    </w:tbl>
    <w:p w14:paraId="6072F0BD" w14:textId="77777777" w:rsidR="0086720A" w:rsidRPr="003522DA" w:rsidRDefault="0086720A" w:rsidP="007000F7">
      <w:pPr>
        <w:jc w:val="center"/>
        <w:rPr>
          <w:b/>
          <w:sz w:val="28"/>
          <w:szCs w:val="28"/>
        </w:rPr>
      </w:pPr>
    </w:p>
    <w:p w14:paraId="348A6A36" w14:textId="77777777" w:rsidR="00037076" w:rsidRPr="00037076" w:rsidRDefault="00037076" w:rsidP="00037076">
      <w:pPr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Инструкция по медицинскому применению</w:t>
      </w:r>
    </w:p>
    <w:p w14:paraId="3D197481" w14:textId="77777777" w:rsidR="00533B92" w:rsidRPr="00341D1B" w:rsidRDefault="00037076" w:rsidP="002442CD">
      <w:pPr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лекарственного препарата (Листок-вкладыш)</w:t>
      </w:r>
      <w:r w:rsidR="00341D1B" w:rsidRPr="00341D1B">
        <w:rPr>
          <w:i/>
          <w:sz w:val="28"/>
          <w:szCs w:val="28"/>
        </w:rPr>
        <w:t>.</w:t>
      </w:r>
    </w:p>
    <w:p w14:paraId="14975F5E" w14:textId="77777777" w:rsidR="00341D1B" w:rsidRDefault="00341D1B" w:rsidP="0047616F">
      <w:pPr>
        <w:pStyle w:val="a3"/>
        <w:rPr>
          <w:rFonts w:ascii="Times New Roman" w:hAnsi="Times New Roman"/>
          <w:b/>
          <w:szCs w:val="28"/>
        </w:rPr>
      </w:pPr>
    </w:p>
    <w:p w14:paraId="0E325F36" w14:textId="77777777" w:rsidR="007000F7" w:rsidRPr="003522DA" w:rsidRDefault="00037076" w:rsidP="0047616F">
      <w:pPr>
        <w:pStyle w:val="a3"/>
        <w:rPr>
          <w:rFonts w:ascii="Times New Roman" w:hAnsi="Times New Roman"/>
          <w:b/>
          <w:szCs w:val="28"/>
        </w:rPr>
      </w:pPr>
      <w:r w:rsidRPr="00037076">
        <w:rPr>
          <w:rFonts w:ascii="Times New Roman" w:hAnsi="Times New Roman"/>
          <w:b/>
          <w:szCs w:val="28"/>
        </w:rPr>
        <w:t>Торговое наименование</w:t>
      </w:r>
      <w:r w:rsidR="007000F7" w:rsidRPr="003522DA">
        <w:rPr>
          <w:rFonts w:ascii="Times New Roman" w:hAnsi="Times New Roman"/>
          <w:b/>
          <w:szCs w:val="28"/>
        </w:rPr>
        <w:t xml:space="preserve"> </w:t>
      </w:r>
    </w:p>
    <w:p w14:paraId="3D7B47B9" w14:textId="77777777" w:rsidR="007000F7" w:rsidRPr="003522DA" w:rsidRDefault="00533B92" w:rsidP="0047616F">
      <w:pPr>
        <w:pStyle w:val="a3"/>
        <w:rPr>
          <w:rFonts w:ascii="Times New Roman" w:hAnsi="Times New Roman"/>
          <w:b/>
          <w:szCs w:val="28"/>
          <w:lang w:val="pl-PL"/>
        </w:rPr>
      </w:pPr>
      <w:proofErr w:type="spellStart"/>
      <w:r w:rsidRPr="00533B92">
        <w:rPr>
          <w:rFonts w:ascii="Times New Roman" w:hAnsi="Times New Roman"/>
          <w:szCs w:val="28"/>
        </w:rPr>
        <w:t>Эмтрицитабин</w:t>
      </w:r>
      <w:proofErr w:type="spellEnd"/>
      <w:r w:rsidRPr="00533B92">
        <w:rPr>
          <w:rFonts w:ascii="Times New Roman" w:hAnsi="Times New Roman"/>
          <w:szCs w:val="28"/>
        </w:rPr>
        <w:t xml:space="preserve"> и </w:t>
      </w:r>
      <w:proofErr w:type="spellStart"/>
      <w:r w:rsidRPr="00533B92">
        <w:rPr>
          <w:rFonts w:ascii="Times New Roman" w:hAnsi="Times New Roman"/>
          <w:szCs w:val="28"/>
        </w:rPr>
        <w:t>тенофовира</w:t>
      </w:r>
      <w:proofErr w:type="spellEnd"/>
      <w:r w:rsidRPr="00533B92">
        <w:rPr>
          <w:rFonts w:ascii="Times New Roman" w:hAnsi="Times New Roman"/>
          <w:szCs w:val="28"/>
        </w:rPr>
        <w:t xml:space="preserve"> </w:t>
      </w:r>
      <w:proofErr w:type="spellStart"/>
      <w:r w:rsidRPr="00533B92">
        <w:rPr>
          <w:rFonts w:ascii="Times New Roman" w:hAnsi="Times New Roman"/>
          <w:szCs w:val="28"/>
        </w:rPr>
        <w:t>дизопроксила</w:t>
      </w:r>
      <w:proofErr w:type="spellEnd"/>
      <w:r w:rsidRPr="00533B92">
        <w:rPr>
          <w:rFonts w:ascii="Times New Roman" w:hAnsi="Times New Roman"/>
          <w:szCs w:val="28"/>
        </w:rPr>
        <w:t xml:space="preserve"> </w:t>
      </w:r>
      <w:proofErr w:type="spellStart"/>
      <w:r w:rsidRPr="00533B92">
        <w:rPr>
          <w:rFonts w:ascii="Times New Roman" w:hAnsi="Times New Roman"/>
          <w:szCs w:val="28"/>
        </w:rPr>
        <w:t>фумарат</w:t>
      </w:r>
      <w:proofErr w:type="spellEnd"/>
    </w:p>
    <w:p w14:paraId="3D7B6B62" w14:textId="77777777" w:rsidR="00533B92" w:rsidRDefault="00533B92" w:rsidP="0047616F">
      <w:pPr>
        <w:pStyle w:val="a3"/>
        <w:rPr>
          <w:rFonts w:ascii="Times New Roman" w:hAnsi="Times New Roman"/>
          <w:b/>
          <w:szCs w:val="28"/>
          <w:lang w:val="en-US"/>
        </w:rPr>
      </w:pPr>
    </w:p>
    <w:p w14:paraId="42D36D03" w14:textId="77777777" w:rsidR="007000F7" w:rsidRPr="003522DA" w:rsidRDefault="007000F7" w:rsidP="0047616F">
      <w:pPr>
        <w:pStyle w:val="a3"/>
        <w:rPr>
          <w:rFonts w:ascii="Times New Roman" w:hAnsi="Times New Roman"/>
          <w:b/>
          <w:szCs w:val="28"/>
        </w:rPr>
      </w:pPr>
      <w:r w:rsidRPr="003522DA">
        <w:rPr>
          <w:rFonts w:ascii="Times New Roman" w:hAnsi="Times New Roman"/>
          <w:b/>
          <w:szCs w:val="28"/>
        </w:rPr>
        <w:t xml:space="preserve">Международное непатентованное название </w:t>
      </w:r>
    </w:p>
    <w:p w14:paraId="4409E0D5" w14:textId="77777777" w:rsidR="007000F7" w:rsidRPr="00533B92" w:rsidRDefault="00533B92" w:rsidP="0047616F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Нет</w:t>
      </w:r>
    </w:p>
    <w:p w14:paraId="4A0335ED" w14:textId="77777777" w:rsidR="007000F7" w:rsidRPr="003522DA" w:rsidRDefault="007000F7" w:rsidP="0047616F">
      <w:pPr>
        <w:pStyle w:val="a3"/>
        <w:rPr>
          <w:rFonts w:ascii="Times New Roman" w:hAnsi="Times New Roman"/>
          <w:szCs w:val="28"/>
        </w:rPr>
      </w:pPr>
    </w:p>
    <w:p w14:paraId="7838AA2C" w14:textId="77777777" w:rsidR="007000F7" w:rsidRPr="003522DA" w:rsidRDefault="007000F7" w:rsidP="0047616F">
      <w:pPr>
        <w:pStyle w:val="a3"/>
        <w:rPr>
          <w:rFonts w:ascii="Times New Roman" w:hAnsi="Times New Roman"/>
          <w:szCs w:val="28"/>
        </w:rPr>
      </w:pPr>
      <w:r w:rsidRPr="003522DA">
        <w:rPr>
          <w:rFonts w:ascii="Times New Roman" w:hAnsi="Times New Roman"/>
          <w:b/>
          <w:szCs w:val="28"/>
        </w:rPr>
        <w:t>Лекарственная форма</w:t>
      </w:r>
      <w:r w:rsidR="00037076">
        <w:rPr>
          <w:rFonts w:ascii="Times New Roman" w:hAnsi="Times New Roman"/>
          <w:b/>
          <w:szCs w:val="28"/>
        </w:rPr>
        <w:t>, дозировка</w:t>
      </w:r>
      <w:r w:rsidRPr="003522DA">
        <w:rPr>
          <w:rFonts w:ascii="Times New Roman" w:hAnsi="Times New Roman"/>
          <w:szCs w:val="28"/>
        </w:rPr>
        <w:t xml:space="preserve"> </w:t>
      </w:r>
    </w:p>
    <w:p w14:paraId="30E55B76" w14:textId="77777777" w:rsidR="007000F7" w:rsidRDefault="00533B92" w:rsidP="0047616F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533B92">
        <w:rPr>
          <w:rFonts w:ascii="Times New Roman" w:hAnsi="Times New Roman"/>
          <w:szCs w:val="28"/>
        </w:rPr>
        <w:t>аблетки</w:t>
      </w:r>
      <w:r w:rsidR="00323F7C">
        <w:rPr>
          <w:rFonts w:ascii="Times New Roman" w:hAnsi="Times New Roman"/>
          <w:szCs w:val="28"/>
        </w:rPr>
        <w:t>, покрытые пленочной оболочкой,</w:t>
      </w:r>
      <w:r w:rsidRPr="00533B92">
        <w:rPr>
          <w:rFonts w:ascii="Times New Roman" w:hAnsi="Times New Roman"/>
          <w:szCs w:val="28"/>
        </w:rPr>
        <w:t xml:space="preserve"> 200 мг/300 мг</w:t>
      </w:r>
    </w:p>
    <w:p w14:paraId="69F292E9" w14:textId="77777777" w:rsidR="00533B92" w:rsidRDefault="00533B92" w:rsidP="0047616F">
      <w:pPr>
        <w:pStyle w:val="a3"/>
        <w:rPr>
          <w:rFonts w:ascii="Times New Roman" w:hAnsi="Times New Roman"/>
          <w:szCs w:val="28"/>
        </w:rPr>
      </w:pPr>
    </w:p>
    <w:p w14:paraId="19FAD4B5" w14:textId="77777777" w:rsidR="00037076" w:rsidRPr="003522DA" w:rsidRDefault="00037076" w:rsidP="00037076">
      <w:pPr>
        <w:pStyle w:val="a3"/>
        <w:rPr>
          <w:rFonts w:ascii="Times New Roman" w:hAnsi="Times New Roman"/>
          <w:b/>
          <w:szCs w:val="28"/>
          <w:lang w:eastAsia="ko-KR"/>
        </w:rPr>
      </w:pPr>
      <w:r w:rsidRPr="003522DA">
        <w:rPr>
          <w:rFonts w:ascii="Times New Roman" w:hAnsi="Times New Roman"/>
          <w:b/>
          <w:szCs w:val="28"/>
        </w:rPr>
        <w:t>Ф</w:t>
      </w:r>
      <w:r w:rsidRPr="003522DA">
        <w:rPr>
          <w:rFonts w:ascii="Times New Roman" w:hAnsi="Times New Roman"/>
          <w:b/>
          <w:szCs w:val="28"/>
          <w:lang w:eastAsia="ko-KR"/>
        </w:rPr>
        <w:t xml:space="preserve">армакотерапевтическая группа </w:t>
      </w:r>
    </w:p>
    <w:p w14:paraId="46BED1FC" w14:textId="77777777" w:rsidR="00F14F66" w:rsidRPr="00407ACE" w:rsidRDefault="00F14F66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14F66">
        <w:rPr>
          <w:color w:val="000000"/>
          <w:sz w:val="28"/>
          <w:szCs w:val="28"/>
        </w:rPr>
        <w:t>Противоинфекционные</w:t>
      </w:r>
      <w:proofErr w:type="spellEnd"/>
      <w:r w:rsidRPr="00F14F66">
        <w:rPr>
          <w:color w:val="000000"/>
          <w:sz w:val="28"/>
          <w:szCs w:val="28"/>
        </w:rPr>
        <w:t xml:space="preserve"> препараты для системного использования. Противовирусные препараты для системного применения. Противовирусные препараты прямого действия. Противовирусные препараты для лечения ВИЧ-инфекции, комбинации. </w:t>
      </w:r>
      <w:proofErr w:type="spellStart"/>
      <w:r w:rsidRPr="00F14F66">
        <w:rPr>
          <w:color w:val="000000"/>
          <w:sz w:val="28"/>
          <w:szCs w:val="28"/>
        </w:rPr>
        <w:t>Тенофовира</w:t>
      </w:r>
      <w:proofErr w:type="spellEnd"/>
      <w:r w:rsidRPr="00F14F66">
        <w:rPr>
          <w:color w:val="000000"/>
          <w:sz w:val="28"/>
          <w:szCs w:val="28"/>
        </w:rPr>
        <w:t xml:space="preserve"> </w:t>
      </w:r>
      <w:proofErr w:type="spellStart"/>
      <w:r w:rsidRPr="00F14F66">
        <w:rPr>
          <w:color w:val="000000"/>
          <w:sz w:val="28"/>
          <w:szCs w:val="28"/>
        </w:rPr>
        <w:t>дизопроксил</w:t>
      </w:r>
      <w:proofErr w:type="spellEnd"/>
      <w:r w:rsidRPr="00F14F66">
        <w:rPr>
          <w:color w:val="000000"/>
          <w:sz w:val="28"/>
          <w:szCs w:val="28"/>
        </w:rPr>
        <w:t xml:space="preserve"> и </w:t>
      </w:r>
      <w:proofErr w:type="spellStart"/>
      <w:r w:rsidRPr="00F14F66">
        <w:rPr>
          <w:color w:val="000000"/>
          <w:sz w:val="28"/>
          <w:szCs w:val="28"/>
        </w:rPr>
        <w:t>эмтрицитабин</w:t>
      </w:r>
      <w:proofErr w:type="spellEnd"/>
      <w:r w:rsidRPr="00F14F66">
        <w:rPr>
          <w:color w:val="000000"/>
          <w:sz w:val="28"/>
          <w:szCs w:val="28"/>
        </w:rPr>
        <w:t>.</w:t>
      </w:r>
    </w:p>
    <w:p w14:paraId="218A8D29" w14:textId="77777777" w:rsidR="00626322" w:rsidRDefault="00533B92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33B92">
        <w:rPr>
          <w:color w:val="000000"/>
          <w:sz w:val="28"/>
          <w:szCs w:val="28"/>
        </w:rPr>
        <w:t>Код АТХ J05AR03</w:t>
      </w:r>
    </w:p>
    <w:p w14:paraId="5B5624DA" w14:textId="77777777" w:rsidR="00533B92" w:rsidRDefault="00533B92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12D09990" w14:textId="77777777" w:rsidR="00650AC7" w:rsidRPr="0047616F" w:rsidRDefault="00650AC7" w:rsidP="00650A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616F">
        <w:rPr>
          <w:b/>
          <w:bCs/>
          <w:color w:val="000000"/>
          <w:spacing w:val="-3"/>
          <w:sz w:val="28"/>
          <w:szCs w:val="28"/>
        </w:rPr>
        <w:t>Показания к применению</w:t>
      </w:r>
    </w:p>
    <w:p w14:paraId="679FDF09" w14:textId="77777777" w:rsidR="00D93EBA" w:rsidRPr="00D93EBA" w:rsidRDefault="00D93EBA" w:rsidP="009510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1"/>
          <w:sz w:val="28"/>
          <w:szCs w:val="28"/>
        </w:rPr>
      </w:pPr>
      <w:r w:rsidRPr="00D93EBA">
        <w:rPr>
          <w:i/>
          <w:color w:val="000000"/>
          <w:spacing w:val="-1"/>
          <w:sz w:val="28"/>
          <w:szCs w:val="28"/>
          <w:lang w:val="kk-KZ"/>
        </w:rPr>
        <w:t>Лечение ВИЧ-инфекции</w:t>
      </w:r>
      <w:r w:rsidRPr="00D93EBA">
        <w:rPr>
          <w:i/>
          <w:color w:val="000000"/>
          <w:spacing w:val="-1"/>
          <w:sz w:val="28"/>
          <w:szCs w:val="28"/>
        </w:rPr>
        <w:t>:</w:t>
      </w:r>
    </w:p>
    <w:p w14:paraId="7B3C3F2C" w14:textId="77777777" w:rsidR="00D93EBA" w:rsidRPr="00D93EBA" w:rsidRDefault="00D93EBA" w:rsidP="009510C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pacing w:val="-1"/>
          <w:sz w:val="28"/>
          <w:szCs w:val="28"/>
        </w:rPr>
      </w:pPr>
      <w:r w:rsidRPr="00D93EBA">
        <w:rPr>
          <w:color w:val="000000"/>
          <w:spacing w:val="-1"/>
          <w:sz w:val="28"/>
          <w:szCs w:val="28"/>
        </w:rPr>
        <w:t>лечение ВИЧ-1 инфекции у взрослых в комбинации с другими</w:t>
      </w:r>
      <w:r w:rsidR="00FC4B76">
        <w:rPr>
          <w:color w:val="000000"/>
          <w:spacing w:val="-1"/>
          <w:sz w:val="28"/>
          <w:szCs w:val="28"/>
        </w:rPr>
        <w:t xml:space="preserve"> антиретровирусными препаратами</w:t>
      </w:r>
    </w:p>
    <w:p w14:paraId="51507232" w14:textId="77777777" w:rsidR="00D93EBA" w:rsidRPr="00D93EBA" w:rsidRDefault="00D93EBA" w:rsidP="009510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1"/>
          <w:sz w:val="28"/>
          <w:szCs w:val="28"/>
        </w:rPr>
      </w:pPr>
      <w:proofErr w:type="spellStart"/>
      <w:r w:rsidRPr="00D93EBA">
        <w:rPr>
          <w:i/>
          <w:color w:val="000000"/>
          <w:spacing w:val="-1"/>
          <w:sz w:val="28"/>
          <w:szCs w:val="28"/>
        </w:rPr>
        <w:t>Доконтактная</w:t>
      </w:r>
      <w:proofErr w:type="spellEnd"/>
      <w:r w:rsidRPr="00D93EBA">
        <w:rPr>
          <w:i/>
          <w:color w:val="000000"/>
          <w:spacing w:val="-1"/>
          <w:sz w:val="28"/>
          <w:szCs w:val="28"/>
        </w:rPr>
        <w:t xml:space="preserve"> профилактика (ДКП):</w:t>
      </w:r>
    </w:p>
    <w:p w14:paraId="1639C1B5" w14:textId="77777777" w:rsidR="00D93EBA" w:rsidRPr="00A15272" w:rsidRDefault="00D93EBA" w:rsidP="009510C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</w:t>
      </w:r>
      <w:r w:rsidRPr="00D93EBA">
        <w:rPr>
          <w:color w:val="000000"/>
          <w:spacing w:val="-1"/>
          <w:sz w:val="28"/>
          <w:szCs w:val="28"/>
        </w:rPr>
        <w:t xml:space="preserve"> сочетании со способами безопасного секса для ДКП с целью </w:t>
      </w:r>
      <w:r w:rsidRPr="00A15272">
        <w:rPr>
          <w:color w:val="000000"/>
          <w:spacing w:val="-1"/>
          <w:sz w:val="28"/>
          <w:szCs w:val="28"/>
        </w:rPr>
        <w:t>снижен</w:t>
      </w:r>
      <w:r w:rsidR="00A15272">
        <w:rPr>
          <w:color w:val="000000"/>
          <w:spacing w:val="-1"/>
          <w:sz w:val="28"/>
          <w:szCs w:val="28"/>
        </w:rPr>
        <w:t xml:space="preserve">ия риска </w:t>
      </w:r>
      <w:r w:rsidRPr="00A15272">
        <w:rPr>
          <w:color w:val="000000"/>
          <w:spacing w:val="-1"/>
          <w:sz w:val="28"/>
          <w:szCs w:val="28"/>
        </w:rPr>
        <w:t>передачи половым путем ВИЧ-1-инфекции у взрослых при повышенном риске</w:t>
      </w:r>
    </w:p>
    <w:p w14:paraId="40C8F28D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780DF518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  <w:r w:rsidRPr="00650AC7">
        <w:rPr>
          <w:b/>
          <w:bCs/>
          <w:color w:val="000000"/>
          <w:spacing w:val="-3"/>
          <w:sz w:val="28"/>
          <w:szCs w:val="28"/>
        </w:rPr>
        <w:t>Перечень сведений, необходимых до начала применения</w:t>
      </w:r>
    </w:p>
    <w:p w14:paraId="4A808CCF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650AC7">
        <w:rPr>
          <w:b/>
          <w:bCs/>
          <w:i/>
          <w:color w:val="000000"/>
          <w:spacing w:val="-3"/>
          <w:sz w:val="28"/>
          <w:szCs w:val="28"/>
        </w:rPr>
        <w:t>Противопоказания</w:t>
      </w:r>
    </w:p>
    <w:p w14:paraId="40A6BB0A" w14:textId="77777777" w:rsidR="00533B92" w:rsidRDefault="00533B92" w:rsidP="00487E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pacing w:val="-3"/>
          <w:sz w:val="28"/>
          <w:szCs w:val="28"/>
        </w:rPr>
      </w:pPr>
      <w:r w:rsidRPr="00533B92">
        <w:rPr>
          <w:bCs/>
          <w:color w:val="000000"/>
          <w:spacing w:val="-3"/>
          <w:sz w:val="28"/>
          <w:szCs w:val="28"/>
        </w:rPr>
        <w:t xml:space="preserve">повышенная чувствительность к </w:t>
      </w:r>
      <w:r w:rsidR="00F45C6F">
        <w:rPr>
          <w:bCs/>
          <w:color w:val="000000"/>
          <w:spacing w:val="-3"/>
          <w:sz w:val="28"/>
          <w:szCs w:val="28"/>
        </w:rPr>
        <w:t>активным</w:t>
      </w:r>
      <w:r w:rsidRPr="00533B92">
        <w:rPr>
          <w:bCs/>
          <w:color w:val="000000"/>
          <w:spacing w:val="-3"/>
          <w:sz w:val="28"/>
          <w:szCs w:val="28"/>
        </w:rPr>
        <w:t xml:space="preserve"> веществам</w:t>
      </w:r>
      <w:r w:rsidR="00FC4B76">
        <w:rPr>
          <w:bCs/>
          <w:color w:val="000000"/>
          <w:spacing w:val="-3"/>
          <w:sz w:val="28"/>
          <w:szCs w:val="28"/>
        </w:rPr>
        <w:t xml:space="preserve"> препарата</w:t>
      </w:r>
      <w:r w:rsidRPr="00533B92">
        <w:rPr>
          <w:bCs/>
          <w:color w:val="000000"/>
          <w:spacing w:val="-3"/>
          <w:sz w:val="28"/>
          <w:szCs w:val="28"/>
        </w:rPr>
        <w:t xml:space="preserve"> или к любому из вспомогательных веществ, перечисленных в разделе «</w:t>
      </w:r>
      <w:r w:rsidRPr="00533B92">
        <w:rPr>
          <w:bCs/>
          <w:i/>
          <w:color w:val="000000"/>
          <w:spacing w:val="-3"/>
          <w:sz w:val="28"/>
          <w:szCs w:val="28"/>
        </w:rPr>
        <w:t>Состав</w:t>
      </w:r>
      <w:r w:rsidRPr="00533B92">
        <w:rPr>
          <w:bCs/>
          <w:color w:val="000000"/>
          <w:spacing w:val="-3"/>
          <w:sz w:val="28"/>
          <w:szCs w:val="28"/>
        </w:rPr>
        <w:t>»;</w:t>
      </w:r>
    </w:p>
    <w:p w14:paraId="5762404E" w14:textId="77777777" w:rsidR="00835A72" w:rsidRPr="00835A72" w:rsidRDefault="00835A72" w:rsidP="00487E1B">
      <w:pPr>
        <w:numPr>
          <w:ilvl w:val="0"/>
          <w:numId w:val="2"/>
        </w:numPr>
        <w:ind w:left="0"/>
        <w:rPr>
          <w:bCs/>
          <w:color w:val="000000"/>
          <w:spacing w:val="-3"/>
          <w:sz w:val="28"/>
          <w:szCs w:val="28"/>
        </w:rPr>
      </w:pPr>
      <w:r w:rsidRPr="00835A72">
        <w:rPr>
          <w:bCs/>
          <w:color w:val="000000"/>
          <w:spacing w:val="-3"/>
          <w:sz w:val="28"/>
          <w:szCs w:val="28"/>
        </w:rPr>
        <w:t xml:space="preserve">применение для </w:t>
      </w:r>
      <w:proofErr w:type="spellStart"/>
      <w:r w:rsidRPr="00835A72">
        <w:rPr>
          <w:bCs/>
          <w:color w:val="000000"/>
          <w:spacing w:val="-3"/>
          <w:sz w:val="28"/>
          <w:szCs w:val="28"/>
        </w:rPr>
        <w:t>доконтактной</w:t>
      </w:r>
      <w:proofErr w:type="spellEnd"/>
      <w:r w:rsidRPr="00835A72">
        <w:rPr>
          <w:bCs/>
          <w:color w:val="000000"/>
          <w:spacing w:val="-3"/>
          <w:sz w:val="28"/>
          <w:szCs w:val="28"/>
        </w:rPr>
        <w:t xml:space="preserve"> профилактики у лиц с неизвестным или положительным ВИЧ-1-статусом</w:t>
      </w:r>
      <w:r>
        <w:rPr>
          <w:bCs/>
          <w:color w:val="000000"/>
          <w:spacing w:val="-3"/>
          <w:sz w:val="28"/>
          <w:szCs w:val="28"/>
        </w:rPr>
        <w:t>;</w:t>
      </w:r>
    </w:p>
    <w:p w14:paraId="6F49C9B9" w14:textId="77777777" w:rsidR="00835A72" w:rsidRPr="00835A72" w:rsidRDefault="00533B92" w:rsidP="00487E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pacing w:val="-3"/>
          <w:sz w:val="28"/>
          <w:szCs w:val="28"/>
        </w:rPr>
      </w:pPr>
      <w:r w:rsidRPr="00533B92">
        <w:rPr>
          <w:bCs/>
          <w:color w:val="000000"/>
          <w:spacing w:val="-3"/>
          <w:sz w:val="28"/>
          <w:szCs w:val="28"/>
        </w:rPr>
        <w:lastRenderedPageBreak/>
        <w:t xml:space="preserve">наследственная непереносимость фруктозы, дефицит фермента </w:t>
      </w:r>
      <w:proofErr w:type="spellStart"/>
      <w:r w:rsidRPr="00533B92">
        <w:rPr>
          <w:bCs/>
          <w:color w:val="000000"/>
          <w:spacing w:val="-3"/>
          <w:sz w:val="28"/>
          <w:szCs w:val="28"/>
        </w:rPr>
        <w:t>Lapp-лактазы</w:t>
      </w:r>
      <w:proofErr w:type="spellEnd"/>
      <w:r w:rsidRPr="00533B92">
        <w:rPr>
          <w:bCs/>
          <w:color w:val="000000"/>
          <w:spacing w:val="-3"/>
          <w:sz w:val="28"/>
          <w:szCs w:val="28"/>
        </w:rPr>
        <w:t xml:space="preserve">, </w:t>
      </w:r>
      <w:proofErr w:type="spellStart"/>
      <w:r w:rsidRPr="00533B92">
        <w:rPr>
          <w:bCs/>
          <w:color w:val="000000"/>
          <w:spacing w:val="-3"/>
          <w:sz w:val="28"/>
          <w:szCs w:val="28"/>
        </w:rPr>
        <w:t>мальабсорбция</w:t>
      </w:r>
      <w:proofErr w:type="spellEnd"/>
      <w:r w:rsidRPr="00533B92">
        <w:rPr>
          <w:bCs/>
          <w:color w:val="000000"/>
          <w:spacing w:val="-3"/>
          <w:sz w:val="28"/>
          <w:szCs w:val="28"/>
        </w:rPr>
        <w:t xml:space="preserve"> глюкозы-галактозы;</w:t>
      </w:r>
    </w:p>
    <w:p w14:paraId="7CCCB2CB" w14:textId="77777777" w:rsidR="00B864D4" w:rsidRDefault="00533B92" w:rsidP="00487E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both"/>
        <w:rPr>
          <w:bCs/>
          <w:color w:val="000000"/>
          <w:spacing w:val="-3"/>
          <w:sz w:val="28"/>
          <w:szCs w:val="28"/>
        </w:rPr>
      </w:pPr>
      <w:r w:rsidRPr="00533B92">
        <w:rPr>
          <w:bCs/>
          <w:color w:val="000000"/>
          <w:spacing w:val="-3"/>
          <w:sz w:val="28"/>
          <w:szCs w:val="28"/>
        </w:rPr>
        <w:t>детс</w:t>
      </w:r>
      <w:r w:rsidR="00FC4B76">
        <w:rPr>
          <w:bCs/>
          <w:color w:val="000000"/>
          <w:spacing w:val="-3"/>
          <w:sz w:val="28"/>
          <w:szCs w:val="28"/>
        </w:rPr>
        <w:t>кий и подростковый возраст до 18</w:t>
      </w:r>
      <w:r w:rsidRPr="00533B92">
        <w:rPr>
          <w:bCs/>
          <w:color w:val="000000"/>
          <w:spacing w:val="-3"/>
          <w:sz w:val="28"/>
          <w:szCs w:val="28"/>
        </w:rPr>
        <w:t xml:space="preserve"> лет</w:t>
      </w:r>
      <w:r w:rsidR="00FC4B76">
        <w:rPr>
          <w:bCs/>
          <w:color w:val="000000"/>
          <w:spacing w:val="-3"/>
          <w:sz w:val="28"/>
          <w:szCs w:val="28"/>
        </w:rPr>
        <w:t xml:space="preserve"> </w:t>
      </w:r>
      <w:r w:rsidR="00FC4B76" w:rsidRPr="00FC4B76">
        <w:rPr>
          <w:bCs/>
          <w:color w:val="000000"/>
          <w:spacing w:val="-3"/>
          <w:sz w:val="28"/>
          <w:szCs w:val="28"/>
        </w:rPr>
        <w:t>(из-за наличия красителя индигокармин в составе</w:t>
      </w:r>
      <w:r w:rsidR="003D28F0">
        <w:rPr>
          <w:bCs/>
          <w:color w:val="000000"/>
          <w:spacing w:val="-3"/>
          <w:sz w:val="28"/>
          <w:szCs w:val="28"/>
        </w:rPr>
        <w:t xml:space="preserve"> оболочки</w:t>
      </w:r>
      <w:r w:rsidR="00FC4B76" w:rsidRPr="00FC4B76">
        <w:rPr>
          <w:bCs/>
          <w:color w:val="000000"/>
          <w:spacing w:val="-3"/>
          <w:sz w:val="28"/>
          <w:szCs w:val="28"/>
        </w:rPr>
        <w:t xml:space="preserve"> препарата)</w:t>
      </w:r>
      <w:r w:rsidRPr="00533B92">
        <w:rPr>
          <w:bCs/>
          <w:color w:val="000000"/>
          <w:spacing w:val="-3"/>
          <w:sz w:val="28"/>
          <w:szCs w:val="28"/>
        </w:rPr>
        <w:t>.</w:t>
      </w:r>
    </w:p>
    <w:p w14:paraId="53F407DC" w14:textId="77777777" w:rsidR="00650AC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Взаимодействия с другими лекарственными препаратами</w:t>
      </w:r>
    </w:p>
    <w:p w14:paraId="53DE7556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 xml:space="preserve">Поскольку комбинированный препарат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содержит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, любые взаимодействия, которые были выявлены для каждого из этих веществ по отдельности, могут быть применимы к препарату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. </w:t>
      </w:r>
    </w:p>
    <w:p w14:paraId="18484C18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 xml:space="preserve">Фармакокинетика стационарного состояния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не подвергалась влиянию при совместном приеме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по сравнению с введением каждого лекарственного препарата отдельно.</w:t>
      </w:r>
    </w:p>
    <w:p w14:paraId="289C051E" w14:textId="77777777" w:rsidR="00835A72" w:rsidRPr="00835A72" w:rsidRDefault="009700C3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Низкая</w:t>
      </w:r>
      <w:r w:rsidR="00835A72" w:rsidRPr="00835A72">
        <w:rPr>
          <w:rFonts w:eastAsia="Calibri"/>
          <w:bCs/>
          <w:sz w:val="28"/>
          <w:szCs w:val="28"/>
          <w:lang w:eastAsia="en-US"/>
        </w:rPr>
        <w:t xml:space="preserve"> возможность взаимодействий, опосредованных CYP450, при участии </w:t>
      </w:r>
      <w:proofErr w:type="spellStart"/>
      <w:r w:rsidR="00835A72" w:rsidRPr="00835A72">
        <w:rPr>
          <w:rFonts w:eastAsia="Calibri"/>
          <w:bCs/>
          <w:sz w:val="28"/>
          <w:szCs w:val="28"/>
          <w:lang w:eastAsia="en-US"/>
        </w:rPr>
        <w:t>эмтрицитабина</w:t>
      </w:r>
      <w:proofErr w:type="spellEnd"/>
      <w:r w:rsidR="00835A72"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="00835A72"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="00835A72"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835A72"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="00835A72"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835A72" w:rsidRPr="00835A72">
        <w:rPr>
          <w:rFonts w:eastAsia="Calibri"/>
          <w:bCs/>
          <w:sz w:val="28"/>
          <w:szCs w:val="28"/>
          <w:lang w:eastAsia="en-US"/>
        </w:rPr>
        <w:t>фумарата</w:t>
      </w:r>
      <w:proofErr w:type="spellEnd"/>
      <w:r w:rsidR="00835A72" w:rsidRPr="00835A72">
        <w:rPr>
          <w:rFonts w:eastAsia="Calibri"/>
          <w:bCs/>
          <w:sz w:val="28"/>
          <w:szCs w:val="28"/>
          <w:lang w:eastAsia="en-US"/>
        </w:rPr>
        <w:t xml:space="preserve"> с другими лекарственными средствами.</w:t>
      </w:r>
    </w:p>
    <w:p w14:paraId="047D25EC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r w:rsidRPr="00835A72">
        <w:rPr>
          <w:rFonts w:eastAsia="Calibri"/>
          <w:bCs/>
          <w:sz w:val="28"/>
          <w:szCs w:val="28"/>
          <w:u w:val="single"/>
          <w:lang w:eastAsia="en-US"/>
        </w:rPr>
        <w:t>Одновременное применение не рекомендуется</w:t>
      </w:r>
    </w:p>
    <w:p w14:paraId="50246FED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Препарат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не следует применять одновременно с другими лекарственными препаратами, содержащими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или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дизопроксил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(в виде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фумарата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),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алафенамид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или другие аналоги цитидина, например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ламивудин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. Препарат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не следует применять одновременно с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адефовира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дипивоксилом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20E6C2D9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en-US"/>
        </w:rPr>
      </w:pPr>
      <w:proofErr w:type="spellStart"/>
      <w:r w:rsidRPr="00835A72">
        <w:rPr>
          <w:rFonts w:eastAsia="Calibri"/>
          <w:bCs/>
          <w:i/>
          <w:iCs/>
          <w:sz w:val="28"/>
          <w:szCs w:val="28"/>
          <w:lang w:eastAsia="en-US"/>
        </w:rPr>
        <w:t>Диданозин</w:t>
      </w:r>
      <w:proofErr w:type="spellEnd"/>
      <w:r w:rsidRPr="00835A72">
        <w:rPr>
          <w:rFonts w:eastAsia="Calibri"/>
          <w:bCs/>
          <w:i/>
          <w:iCs/>
          <w:sz w:val="28"/>
          <w:szCs w:val="28"/>
          <w:lang w:eastAsia="en-US"/>
        </w:rPr>
        <w:t xml:space="preserve">. </w:t>
      </w:r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Не рекомендуется применять препарат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 xml:space="preserve"> одновременно с </w:t>
      </w:r>
      <w:proofErr w:type="spellStart"/>
      <w:r w:rsidRPr="00835A72">
        <w:rPr>
          <w:rFonts w:eastAsia="Calibri"/>
          <w:bCs/>
          <w:iCs/>
          <w:sz w:val="28"/>
          <w:szCs w:val="28"/>
          <w:lang w:eastAsia="en-US"/>
        </w:rPr>
        <w:t>диданозином</w:t>
      </w:r>
      <w:proofErr w:type="spellEnd"/>
      <w:r w:rsidRPr="00835A72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4FCDB9F3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i/>
          <w:iCs/>
          <w:sz w:val="28"/>
          <w:szCs w:val="28"/>
          <w:lang w:eastAsia="en-US"/>
        </w:rPr>
        <w:t>Лекарственные средства, которые выводятся через почки.</w:t>
      </w:r>
      <w:r w:rsidRPr="00835A72">
        <w:rPr>
          <w:rFonts w:eastAsia="Calibri"/>
          <w:bCs/>
          <w:sz w:val="28"/>
          <w:szCs w:val="28"/>
          <w:lang w:eastAsia="en-US"/>
        </w:rPr>
        <w:t xml:space="preserve"> Поскольку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выводятся преимущественно через почки, одновременное введение препарата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с лекарственными препаратами, снижающими почечную функцию или конкурирующими за активную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канальцевую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секрецию (например, с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цидофовиром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), может повышать концентрацию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и/или лекарственных препаратов, вводимых одновременно, в сыворотке крови.</w:t>
      </w:r>
    </w:p>
    <w:p w14:paraId="2263852F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 xml:space="preserve">Необходимо избегать применения препарата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с одновременным или недавним применением нефротоксических лекарственных средств (например, но не исключительно, аминогликозидов,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амфотерицина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 B,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фоскарнета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ганцикло</w:t>
      </w:r>
      <w:proofErr w:type="spellEnd"/>
      <w:r w:rsidR="00417A87">
        <w:rPr>
          <w:rFonts w:eastAsia="Calibri"/>
          <w:bCs/>
          <w:sz w:val="28"/>
          <w:szCs w:val="28"/>
          <w:lang w:eastAsia="en-US"/>
        </w:rPr>
        <w:t>-</w:t>
      </w:r>
      <w:r w:rsidRPr="00835A72">
        <w:rPr>
          <w:rFonts w:eastAsia="Calibri"/>
          <w:bCs/>
          <w:sz w:val="28"/>
          <w:szCs w:val="28"/>
          <w:lang w:eastAsia="en-US"/>
        </w:rPr>
        <w:t xml:space="preserve">вира,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пентамидина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, ванкомицина,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цидофовира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интерлейкина - </w:t>
      </w:r>
      <w:r>
        <w:rPr>
          <w:rFonts w:eastAsia="Calibri"/>
          <w:bCs/>
          <w:sz w:val="28"/>
          <w:szCs w:val="28"/>
          <w:lang w:eastAsia="en-US"/>
        </w:rPr>
        <w:t>2)</w:t>
      </w:r>
      <w:r w:rsidRPr="00835A72">
        <w:rPr>
          <w:rFonts w:eastAsia="Calibri"/>
          <w:bCs/>
          <w:sz w:val="28"/>
          <w:szCs w:val="28"/>
          <w:lang w:eastAsia="en-US"/>
        </w:rPr>
        <w:t>.</w:t>
      </w:r>
    </w:p>
    <w:p w14:paraId="5EF910BF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r w:rsidRPr="00835A72">
        <w:rPr>
          <w:rFonts w:eastAsia="Calibri"/>
          <w:bCs/>
          <w:sz w:val="28"/>
          <w:szCs w:val="28"/>
          <w:u w:val="single"/>
          <w:lang w:eastAsia="en-US"/>
        </w:rPr>
        <w:t>Другие взаимодействия</w:t>
      </w:r>
    </w:p>
    <w:p w14:paraId="140463D4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 xml:space="preserve">Взаимодействия между препаратом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или его отдельными компонентами и другими лекарственными препаратами представлены ниже в Таблице 2 (увеличение обозначено «↑», уменьшение – «↓», отсутствие изменений – «↔», два раза </w:t>
      </w:r>
      <w:r w:rsidRPr="00835A72">
        <w:rPr>
          <w:rFonts w:eastAsia="Calibri"/>
          <w:bCs/>
          <w:sz w:val="28"/>
          <w:szCs w:val="28"/>
          <w:lang w:eastAsia="en-US"/>
        </w:rPr>
        <w:lastRenderedPageBreak/>
        <w:t>в сутки – «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b.i.d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>.» и один раз в сутки – «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q.d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>.»). При наличии данных 90 % доверительный интервал указан в скобках.</w:t>
      </w:r>
      <w:r w:rsidRPr="00835A72" w:rsidDel="0036493D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077679D6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>Таблица 2</w:t>
      </w:r>
    </w:p>
    <w:p w14:paraId="672CB499" w14:textId="77777777" w:rsidR="00835A72" w:rsidRPr="00835A72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35A72">
        <w:rPr>
          <w:rFonts w:eastAsia="Calibri"/>
          <w:bCs/>
          <w:sz w:val="28"/>
          <w:szCs w:val="28"/>
          <w:lang w:eastAsia="en-US"/>
        </w:rPr>
        <w:t xml:space="preserve">Взаимодействия между препаратом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Эмтрицитабин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тенофовира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дизопроксила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835A72">
        <w:rPr>
          <w:rFonts w:eastAsia="Calibri"/>
          <w:bCs/>
          <w:sz w:val="28"/>
          <w:szCs w:val="28"/>
          <w:lang w:eastAsia="en-US"/>
        </w:rPr>
        <w:t>фумарат</w:t>
      </w:r>
      <w:proofErr w:type="spellEnd"/>
      <w:r w:rsidRPr="00835A72">
        <w:rPr>
          <w:rFonts w:eastAsia="Calibri"/>
          <w:bCs/>
          <w:sz w:val="28"/>
          <w:szCs w:val="28"/>
          <w:lang w:eastAsia="en-US"/>
        </w:rPr>
        <w:t xml:space="preserve"> или его отдельными компонентами и другими лекарственными средствами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219"/>
        <w:gridCol w:w="3024"/>
      </w:tblGrid>
      <w:tr w:rsidR="0025743F" w:rsidRPr="00704FB4" w14:paraId="347B12C5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1B7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Лекарственное средство по направлениям лечения</w:t>
            </w:r>
          </w:p>
          <w:p w14:paraId="1695150C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F7C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Влияние на уровни препарата,</w:t>
            </w:r>
          </w:p>
          <w:p w14:paraId="0CA5C5BF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среднее процентное изменение</w:t>
            </w:r>
          </w:p>
          <w:p w14:paraId="4E9FE0DD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  <w:lang w:val="en-US"/>
              </w:rPr>
              <w:t>AUC</w:t>
            </w:r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  <w:lang w:val="en-US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  <w:lang w:val="en-US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с 90% доверительным интервалом при наличии данных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C21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Рекомендация относительно одновременного введения с препаратом 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</w:tr>
      <w:tr w:rsidR="0025743F" w:rsidRPr="00704FB4" w14:paraId="3E899A5D" w14:textId="77777777" w:rsidTr="00257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EC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  <w:lang w:val="kk-KZ"/>
              </w:rPr>
            </w:pPr>
            <w:r w:rsidRPr="00704FB4">
              <w:rPr>
                <w:rFonts w:eastAsia="Calibri"/>
                <w:b/>
                <w:szCs w:val="24"/>
              </w:rPr>
              <w:t>ПРОТИВОИНФЕКЦИОННЫЕ</w:t>
            </w:r>
            <w:r w:rsidRPr="00704FB4">
              <w:rPr>
                <w:rFonts w:eastAsia="Calibri"/>
                <w:b/>
                <w:szCs w:val="24"/>
                <w:lang w:val="kk-KZ"/>
              </w:rPr>
              <w:t xml:space="preserve"> ПРЕПАРАТЫ</w:t>
            </w:r>
          </w:p>
        </w:tc>
      </w:tr>
      <w:tr w:rsidR="0025743F" w:rsidRPr="00704FB4" w14:paraId="0529B286" w14:textId="77777777" w:rsidTr="00257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06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szCs w:val="24"/>
              </w:rPr>
              <w:t>Антиретровирусные</w:t>
            </w:r>
          </w:p>
        </w:tc>
      </w:tr>
      <w:tr w:rsidR="0025743F" w:rsidRPr="00704FB4" w14:paraId="7878F2B3" w14:textId="77777777" w:rsidTr="00257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68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szCs w:val="24"/>
              </w:rPr>
              <w:t>Ингибиторы протеазы</w:t>
            </w:r>
          </w:p>
        </w:tc>
      </w:tr>
      <w:tr w:rsidR="0025743F" w:rsidRPr="00704FB4" w14:paraId="6DAD2D0A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3F0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501AE237" w14:textId="77777777" w:rsidR="0025743F" w:rsidRPr="00704FB4" w:rsidRDefault="0025743F" w:rsidP="00C748B6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(300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./</w:t>
            </w:r>
            <w:r w:rsidR="00C748B6" w:rsidRPr="00C748B6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4A1" w14:textId="77777777" w:rsidR="0025743F" w:rsidRPr="00704FB4" w:rsidRDefault="0025743F" w:rsidP="004448BB">
            <w:pPr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206967F" w14:textId="77777777" w:rsidR="0025743F" w:rsidRPr="00704FB4" w:rsidRDefault="0025743F" w:rsidP="004448BB">
            <w:pPr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25 % (↓ 42 - ↓ 3)</w:t>
            </w:r>
          </w:p>
          <w:p w14:paraId="01C88751" w14:textId="77777777" w:rsidR="0025743F" w:rsidRPr="00704FB4" w:rsidRDefault="0025743F" w:rsidP="004448BB">
            <w:pPr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28 % (↓ 50 - ↑ 5)</w:t>
            </w:r>
          </w:p>
          <w:p w14:paraId="04FBE79A" w14:textId="77777777" w:rsidR="0025743F" w:rsidRPr="00704FB4" w:rsidRDefault="0025743F" w:rsidP="004448BB">
            <w:pPr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26 % (↓ 46 - ↑ 10)</w:t>
            </w:r>
          </w:p>
          <w:p w14:paraId="4EF0A2C3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0A0FCEF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 37 %</w:t>
            </w:r>
          </w:p>
          <w:p w14:paraId="3B1408CF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 34 %</w:t>
            </w:r>
          </w:p>
          <w:p w14:paraId="0AA2B895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  <w:r w:rsidRPr="00704FB4">
              <w:rPr>
                <w:rFonts w:eastAsia="Calibri"/>
                <w:b/>
                <w:bCs/>
                <w:szCs w:val="24"/>
              </w:rPr>
              <w:t xml:space="preserve"> </w:t>
            </w:r>
            <w:r w:rsidRPr="00704FB4">
              <w:rPr>
                <w:rFonts w:eastAsia="Calibri"/>
                <w:szCs w:val="24"/>
              </w:rPr>
              <w:t>↑ 29 %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E0BB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почек.</w:t>
            </w:r>
          </w:p>
        </w:tc>
      </w:tr>
      <w:tr w:rsidR="0025743F" w:rsidRPr="00704FB4" w14:paraId="521BB719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0EF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4AC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Взаимодействие не изучалось.</w:t>
            </w:r>
          </w:p>
        </w:tc>
        <w:tc>
          <w:tcPr>
            <w:tcW w:w="1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7C6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5743F" w:rsidRPr="00704FB4" w14:paraId="00DA2349" w14:textId="77777777" w:rsidTr="00014714">
        <w:trPr>
          <w:trHeight w:val="2117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0C7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5D2C5BD6" w14:textId="77777777" w:rsidR="0025743F" w:rsidRPr="00704FB4" w:rsidRDefault="0025743F" w:rsidP="00C748B6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(300 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 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./</w:t>
            </w:r>
            <w:r w:rsidR="00C748B6" w:rsidRPr="00C748B6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 мг 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DC4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438D6B1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39130DF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40CBC7F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</w:p>
          <w:p w14:paraId="67A813AC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607AEE3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22 %</w:t>
            </w:r>
          </w:p>
          <w:p w14:paraId="5FCD088A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37 %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7A50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почек.</w:t>
            </w:r>
          </w:p>
        </w:tc>
      </w:tr>
      <w:tr w:rsidR="0025743F" w:rsidRPr="00704FB4" w14:paraId="037F2627" w14:textId="77777777" w:rsidTr="00014714">
        <w:trPr>
          <w:trHeight w:val="613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14A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</w:p>
          <w:p w14:paraId="4A092F72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C5E" w14:textId="77777777" w:rsidR="0025743F" w:rsidRPr="00D35BEB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Взаимодействие не изучалось.</w:t>
            </w:r>
          </w:p>
        </w:tc>
        <w:tc>
          <w:tcPr>
            <w:tcW w:w="1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7D3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  <w:tr w:rsidR="0025743F" w:rsidRPr="00704FB4" w14:paraId="39D6DFF9" w14:textId="77777777" w:rsidTr="00014714">
        <w:trPr>
          <w:trHeight w:val="332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5A3E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Лопинавир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</w:p>
          <w:p w14:paraId="297DDF95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5CF70F8C" w14:textId="77777777" w:rsidR="0025743F" w:rsidRPr="00704FB4" w:rsidRDefault="0025743F" w:rsidP="00C748B6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 </w:t>
            </w:r>
            <w:proofErr w:type="spellStart"/>
            <w:r w:rsidRPr="00704FB4">
              <w:rPr>
                <w:rFonts w:eastAsia="Calibri"/>
                <w:szCs w:val="24"/>
              </w:rPr>
              <w:t>b.i.d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b.i.d</w:t>
            </w:r>
            <w:proofErr w:type="spellEnd"/>
            <w:r w:rsidRPr="00704FB4">
              <w:rPr>
                <w:rFonts w:eastAsia="Calibri"/>
                <w:szCs w:val="24"/>
              </w:rPr>
              <w:t>./</w:t>
            </w:r>
            <w:r w:rsidR="00C748B6" w:rsidRPr="00C748B6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573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Лопинавир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56C9C5C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02B73604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99FDA98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491DA55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</w:p>
          <w:p w14:paraId="3A71A295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476EE58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AUC: ↑ 32 % (↑ 25 - ↑ 38)</w:t>
            </w:r>
          </w:p>
          <w:p w14:paraId="51A272FF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  <w:vertAlign w:val="subscript"/>
              </w:rPr>
              <w:t>.</w:t>
            </w:r>
            <w:r w:rsidRPr="00704FB4">
              <w:rPr>
                <w:rFonts w:eastAsia="Calibri"/>
                <w:szCs w:val="24"/>
              </w:rPr>
              <w:t>: ↔</w:t>
            </w:r>
          </w:p>
          <w:p w14:paraId="60226FFC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51 % (↑ 37 - ↑ 66)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FE1A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почек.</w:t>
            </w:r>
          </w:p>
        </w:tc>
      </w:tr>
      <w:tr w:rsidR="0025743F" w:rsidRPr="00704FB4" w14:paraId="1AFD4E2F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39A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Лопинавир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</w:p>
          <w:p w14:paraId="580B9AA4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90C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Взаимодействие не изучалось.</w:t>
            </w:r>
          </w:p>
        </w:tc>
        <w:tc>
          <w:tcPr>
            <w:tcW w:w="1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88A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</w:p>
        </w:tc>
      </w:tr>
      <w:tr w:rsidR="0025743F" w:rsidRPr="00704FB4" w14:paraId="4436BFB0" w14:textId="77777777" w:rsidTr="002574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F75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b/>
                <w:szCs w:val="24"/>
              </w:rPr>
              <w:t>Нуклеозидные</w:t>
            </w:r>
            <w:proofErr w:type="spellEnd"/>
            <w:r w:rsidRPr="00704FB4">
              <w:rPr>
                <w:rFonts w:eastAsia="Calibri"/>
                <w:b/>
                <w:szCs w:val="24"/>
              </w:rPr>
              <w:t xml:space="preserve"> ингибиторы обратной транскриптазы </w:t>
            </w:r>
          </w:p>
        </w:tc>
      </w:tr>
      <w:tr w:rsidR="0025743F" w:rsidRPr="00704FB4" w14:paraId="5BAEBDC3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806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Диданозин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392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Одновременное введение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приво-дит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к 40–60% повышению системной экспозиции к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диданозину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что может увеличивать риск связанных с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побочных действий. 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01404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Одновременное применение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рекомендуется</w:t>
            </w:r>
            <w:r>
              <w:rPr>
                <w:rFonts w:eastAsia="Calibri"/>
                <w:szCs w:val="24"/>
              </w:rPr>
              <w:t>.</w:t>
            </w:r>
          </w:p>
          <w:p w14:paraId="3ACCBE56" w14:textId="77777777" w:rsidR="0025743F" w:rsidRPr="00704FB4" w:rsidRDefault="0025743F" w:rsidP="004448BB">
            <w:pPr>
              <w:keepNext/>
              <w:keepLines/>
              <w:widowControl w:val="0"/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Сообщалось о нечастых, иногда летальных, случаях панкреатита и </w:t>
            </w:r>
            <w:proofErr w:type="spellStart"/>
            <w:r w:rsidRPr="00704FB4">
              <w:rPr>
                <w:rFonts w:eastAsia="Calibri"/>
                <w:szCs w:val="24"/>
              </w:rPr>
              <w:t>лактат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-ацидоза. Одновременное применение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дозе 400 мг в сутки было связано со значительным уменьшением количества клеток CD4, возможно, в связи с межклеточным </w:t>
            </w:r>
            <w:proofErr w:type="spellStart"/>
            <w:r w:rsidRPr="00704FB4">
              <w:rPr>
                <w:rFonts w:eastAsia="Calibri"/>
                <w:szCs w:val="24"/>
              </w:rPr>
              <w:t>взаимодей-ствием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что повышает </w:t>
            </w:r>
            <w:proofErr w:type="spellStart"/>
            <w:r w:rsidRPr="00704FB4">
              <w:rPr>
                <w:rFonts w:eastAsia="Calibri"/>
                <w:szCs w:val="24"/>
              </w:rPr>
              <w:t>фосфорилированный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(то есть активный)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 Уменьшенное дозирование в 250 мг </w:t>
            </w:r>
            <w:proofErr w:type="spellStart"/>
            <w:r w:rsidRPr="00704FB4">
              <w:rPr>
                <w:rFonts w:eastAsia="Calibri"/>
                <w:szCs w:val="24"/>
              </w:rPr>
              <w:t>диданозина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который применяется одновременно с терапией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lastRenderedPageBreak/>
              <w:t>фумаратом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было связано с сообщениями о высокой частоте </w:t>
            </w:r>
            <w:proofErr w:type="spellStart"/>
            <w:r w:rsidRPr="00704FB4">
              <w:rPr>
                <w:rFonts w:eastAsia="Calibri"/>
                <w:szCs w:val="24"/>
              </w:rPr>
              <w:t>вирусоло-гического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неудачного лечения при нескольких исследованных комбинациях для лечения ВИЧ-1 инфекции.</w:t>
            </w:r>
          </w:p>
        </w:tc>
      </w:tr>
      <w:tr w:rsidR="0025743F" w:rsidRPr="00704FB4" w14:paraId="6E536D16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B77B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Диданозин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</w:p>
          <w:p w14:paraId="3835DB20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49E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Взаимодействие не изучалось.</w:t>
            </w:r>
          </w:p>
        </w:tc>
        <w:tc>
          <w:tcPr>
            <w:tcW w:w="1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34AA4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25743F" w:rsidRPr="00704FB4" w14:paraId="2D32EC96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A5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Ламивудин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3B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Ламивудин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271C30BB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3 % (↓ 8 %–↑ 15)</w:t>
            </w:r>
          </w:p>
          <w:p w14:paraId="7F862BF4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24 % (↓ 44–↓ 12)</w:t>
            </w:r>
          </w:p>
          <w:p w14:paraId="59512E6B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1A6EA59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21D3B98C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281F6F7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4 % (↓ 15–↑ 8)</w:t>
            </w:r>
          </w:p>
          <w:p w14:paraId="5EEC4A07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102 % (↓ 96–↑ 108)</w:t>
            </w:r>
          </w:p>
          <w:p w14:paraId="29E0E8C1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</w:tcPr>
          <w:p w14:paraId="344DF16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Ламивудин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препарат 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следует применять одновременно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5743F" w:rsidRPr="00704FB4" w14:paraId="0D5772FF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D1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41C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6CA5750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4 % (↓ 7–↓ 1)</w:t>
            </w:r>
          </w:p>
          <w:p w14:paraId="4B847C8A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4 % (↓ 9–↑ 2)</w:t>
            </w:r>
          </w:p>
          <w:p w14:paraId="34AAAA4D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12542298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</w:p>
          <w:p w14:paraId="40BFD3CC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A2D03E4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1 % (↓ 8–↑ 6)</w:t>
            </w:r>
          </w:p>
          <w:p w14:paraId="4BFAFFF1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7 % (↓ 6–↑ 22)</w:t>
            </w:r>
          </w:p>
          <w:p w14:paraId="7739B0A4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</w:tcPr>
          <w:p w14:paraId="7B3A79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</w:t>
            </w:r>
            <w:proofErr w:type="spellStart"/>
            <w:r w:rsidRPr="00704FB4">
              <w:rPr>
                <w:rFonts w:eastAsia="Calibri"/>
                <w:szCs w:val="24"/>
              </w:rPr>
              <w:t>эфавиренза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требуется.</w:t>
            </w:r>
          </w:p>
        </w:tc>
      </w:tr>
      <w:tr w:rsidR="0025743F" w:rsidRPr="00704FB4" w14:paraId="20DCBCB2" w14:textId="77777777" w:rsidTr="0025743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E34BB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i/>
                <w:szCs w:val="24"/>
              </w:rPr>
              <w:t>ПРОТИВОИНФЕКЦИОННЫЕ</w:t>
            </w:r>
          </w:p>
        </w:tc>
      </w:tr>
      <w:tr w:rsidR="0025743F" w:rsidRPr="00704FB4" w14:paraId="58DE3132" w14:textId="77777777" w:rsidTr="0025743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FAD0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szCs w:val="24"/>
              </w:rPr>
              <w:t>Средства, действующие на вирус гепатита В (ВГВ)</w:t>
            </w:r>
          </w:p>
        </w:tc>
      </w:tr>
      <w:tr w:rsidR="0025743F" w:rsidRPr="00704FB4" w14:paraId="72146713" w14:textId="77777777" w:rsidTr="0001471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FD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Адефовира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дипивоксил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AB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Адефовира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дипивоксил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: </w:t>
            </w:r>
          </w:p>
          <w:p w14:paraId="379C6C84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11 % (↓ 14–↓ 7)</w:t>
            </w:r>
          </w:p>
          <w:p w14:paraId="06FBE537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7 % (↓ 13–↓ 0)</w:t>
            </w:r>
          </w:p>
          <w:p w14:paraId="0895199E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5B04836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57332CA3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14457F5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2 % (↓ 5–↑ 0)</w:t>
            </w:r>
          </w:p>
          <w:p w14:paraId="15EF3DAE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1 % (↓ 7–↑ 6)</w:t>
            </w:r>
          </w:p>
          <w:p w14:paraId="161DF05D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</w:tcPr>
          <w:p w14:paraId="159AE37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Адефовира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дипивоксил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препарат 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следует вводить одновременно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5743F" w:rsidRPr="00704FB4" w14:paraId="43DC5FC8" w14:textId="77777777" w:rsidTr="0025743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C33BD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szCs w:val="24"/>
              </w:rPr>
              <w:t>Средства, действующие на вирус гепатита С (ВГС)</w:t>
            </w:r>
          </w:p>
        </w:tc>
      </w:tr>
      <w:tr w:rsidR="0025743F" w:rsidRPr="00704FB4" w14:paraId="33B8ADED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785354F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</w:p>
          <w:p w14:paraId="2FEF9BB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16358B6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</w:p>
          <w:p w14:paraId="1F32CD8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(300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7B03BAB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591DDB6F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  <w:r w:rsidRPr="00704FB4">
              <w:rPr>
                <w:rFonts w:eastAsia="Calibri"/>
                <w:szCs w:val="24"/>
                <w:vertAlign w:val="superscript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697827E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1A0EA4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96 % (↑ 74–↑ 121)</w:t>
            </w:r>
          </w:p>
          <w:p w14:paraId="554828D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68 % (↑ 54–↑ 84)</w:t>
            </w:r>
          </w:p>
          <w:p w14:paraId="4C54914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118 % (↑ 91–↑ 150)</w:t>
            </w:r>
          </w:p>
          <w:p w14:paraId="63565F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03A17EF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5907AA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2BE705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EE7EC3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25D6ED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05711F4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FCA524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FC3DD1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42 % (↑ 34–↑ 49)</w:t>
            </w:r>
          </w:p>
          <w:p w14:paraId="4806818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3CA3990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B32162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B88BEF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813F49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63 % (↑ 45–↑ 84)</w:t>
            </w:r>
          </w:p>
          <w:p w14:paraId="409BD28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34E82DF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A37CA3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955CBB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B75119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45 % (↑ 27–↑ 64)</w:t>
            </w:r>
          </w:p>
          <w:p w14:paraId="6531574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30ED1A5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317C77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24B9D2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9D8F69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37846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0838B29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22863B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286059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47 % (↑ 37–↑ 58)</w:t>
            </w:r>
          </w:p>
          <w:p w14:paraId="4A90A4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47 % (↑ 38–↑ 57)</w:t>
            </w:r>
          </w:p>
        </w:tc>
        <w:tc>
          <w:tcPr>
            <w:tcW w:w="1628" w:type="pct"/>
          </w:tcPr>
          <w:p w14:paraId="2A0A949C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Повышение концентрации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</w:rPr>
              <w:t>ледипасвира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атазанавира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</w:p>
          <w:p w14:paraId="72F3DFA3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eastAsia="Calibri"/>
                <w:szCs w:val="24"/>
              </w:rPr>
              <w:t>ледипасвиром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или </w:t>
            </w:r>
            <w:proofErr w:type="spellStart"/>
            <w:r w:rsidRPr="00704FB4">
              <w:rPr>
                <w:rFonts w:eastAsia="Calibri"/>
                <w:szCs w:val="24"/>
              </w:rPr>
              <w:t>кобицистатом</w:t>
            </w:r>
            <w:proofErr w:type="spellEnd"/>
            <w:r w:rsidRPr="00704FB4">
              <w:rPr>
                <w:rFonts w:eastAsia="Calibri"/>
                <w:szCs w:val="24"/>
              </w:rPr>
              <w:t>) не установлена.</w:t>
            </w:r>
          </w:p>
          <w:p w14:paraId="10D76E8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trike/>
                <w:szCs w:val="24"/>
              </w:rPr>
            </w:pPr>
            <w:r w:rsidRPr="00704FB4">
              <w:rPr>
                <w:rFonts w:eastAsia="Calibri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лечения.</w:t>
            </w:r>
          </w:p>
        </w:tc>
      </w:tr>
      <w:tr w:rsidR="0025743F" w:rsidRPr="00704FB4" w14:paraId="31162347" w14:textId="77777777" w:rsidTr="00014714">
        <w:trPr>
          <w:trHeight w:val="1407"/>
        </w:trPr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4EF5385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</w:p>
          <w:p w14:paraId="3080046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3A35BB3C" w14:textId="77777777" w:rsidR="0025743F" w:rsidRPr="00704FB4" w:rsidRDefault="0025743F" w:rsidP="004448BB">
            <w:pPr>
              <w:tabs>
                <w:tab w:val="left" w:pos="914"/>
              </w:tabs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</w:p>
          <w:p w14:paraId="3A5CC224" w14:textId="77777777" w:rsidR="0025743F" w:rsidRPr="00704FB4" w:rsidRDefault="0025743F" w:rsidP="004448BB">
            <w:pPr>
              <w:tabs>
                <w:tab w:val="left" w:pos="914"/>
              </w:tabs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(800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1390B4A6" w14:textId="77777777" w:rsidR="0025743F" w:rsidRPr="00704FB4" w:rsidRDefault="0025743F" w:rsidP="004448BB">
            <w:pPr>
              <w:tabs>
                <w:tab w:val="left" w:pos="914"/>
              </w:tabs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316F086A" w14:textId="77777777" w:rsidR="0025743F" w:rsidRPr="00704FB4" w:rsidRDefault="0025743F" w:rsidP="00C748B6">
            <w:pPr>
              <w:tabs>
                <w:tab w:val="left" w:pos="914"/>
              </w:tabs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  <w:r w:rsidRPr="00704FB4">
              <w:rPr>
                <w:rFonts w:eastAsia="Calibri"/>
                <w:szCs w:val="24"/>
                <w:vertAlign w:val="superscript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0BA2A89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A2B94A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4F1DF8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E18D50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9B1FE3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C7210C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27 % (↓ 35–↓ 18)</w:t>
            </w:r>
          </w:p>
          <w:p w14:paraId="1EFB17E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37 % (↓ 48–↓ 25)</w:t>
            </w:r>
          </w:p>
          <w:p w14:paraId="21D1092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6B59104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2D18DD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C3A5CA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60212D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4899B29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B647D9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93372B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5C55E7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FC55EE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1D6D14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928942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4C938F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48 % (↑ 34–↑ 63)</w:t>
            </w:r>
          </w:p>
          <w:p w14:paraId="469B6BE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5386F5F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B96493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F847A7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85AB77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B3E203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59667D6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BE4A9D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50 % (↑ 42–↑ 59)</w:t>
            </w:r>
          </w:p>
          <w:p w14:paraId="1E54480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64 % (↑ 54–↑ 74)</w:t>
            </w:r>
          </w:p>
          <w:p w14:paraId="225C848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59 % (↑ 49–↑ 70)</w:t>
            </w:r>
          </w:p>
        </w:tc>
        <w:tc>
          <w:tcPr>
            <w:tcW w:w="1628" w:type="pct"/>
          </w:tcPr>
          <w:p w14:paraId="5255AB53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</w:rPr>
              <w:t>ледипасвира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дарунавира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рито-навира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в том числе </w:t>
            </w:r>
            <w:r w:rsidRPr="00704FB4">
              <w:rPr>
                <w:rFonts w:eastAsia="Calibri"/>
                <w:szCs w:val="24"/>
              </w:rPr>
              <w:lastRenderedPageBreak/>
              <w:t xml:space="preserve">почечные нарушения. Безопасность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eastAsia="Calibri"/>
                <w:szCs w:val="24"/>
              </w:rPr>
              <w:t>ледипасвиром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или </w:t>
            </w:r>
            <w:proofErr w:type="spellStart"/>
            <w:r w:rsidRPr="00704FB4">
              <w:rPr>
                <w:rFonts w:eastAsia="Calibri"/>
                <w:szCs w:val="24"/>
              </w:rPr>
              <w:t>кобицистатом</w:t>
            </w:r>
            <w:proofErr w:type="spellEnd"/>
            <w:r w:rsidRPr="00704FB4">
              <w:rPr>
                <w:rFonts w:eastAsia="Calibri"/>
                <w:szCs w:val="24"/>
              </w:rPr>
              <w:t>) не установлена.</w:t>
            </w:r>
          </w:p>
          <w:p w14:paraId="3B9A7F65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лечения.</w:t>
            </w:r>
          </w:p>
        </w:tc>
      </w:tr>
      <w:tr w:rsidR="0025743F" w:rsidRPr="00704FB4" w14:paraId="32A1ED05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39542F9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</w:p>
          <w:p w14:paraId="6DB3653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163DC36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5A7DD554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(600 мг/200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286DD6F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8DCF80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34 % (↓ 41–↓ 25)</w:t>
            </w:r>
          </w:p>
          <w:p w14:paraId="7024221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34 % (↓ 41–↑ 25)</w:t>
            </w:r>
          </w:p>
          <w:p w14:paraId="353DE9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34 % (↓ 43–↑ 24)</w:t>
            </w:r>
          </w:p>
          <w:p w14:paraId="2336EFB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D98141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E481F9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FF1684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7B3B60D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FFFC0A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18F5DE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41325F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DA4388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019FA5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FA5F79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D18D5E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CD26AD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F5979D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6A5299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9396DE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2B3B28C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98 % (↑ 77–↑ 123)</w:t>
            </w:r>
          </w:p>
          <w:p w14:paraId="1797B0D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79 % (↑ 56–↑ 104)</w:t>
            </w:r>
          </w:p>
          <w:p w14:paraId="3168B09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163 % (↑ 137–↑ 197)</w:t>
            </w:r>
          </w:p>
        </w:tc>
        <w:tc>
          <w:tcPr>
            <w:tcW w:w="1628" w:type="pct"/>
          </w:tcPr>
          <w:p w14:paraId="184BE52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Коррекция дозы не требуется. Повышение экспозиции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, в том числе почечные нарушения. Следует тщательно следить за функцией почек.</w:t>
            </w:r>
          </w:p>
        </w:tc>
      </w:tr>
      <w:tr w:rsidR="0025743F" w:rsidRPr="00704FB4" w14:paraId="1A1BC748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090E9DF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</w:p>
          <w:p w14:paraId="10CF4C6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7BB2B0F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Рилпивирин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113B80EC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мг/25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2CD900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31A985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E53D00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0603E6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7471FE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E9EDD9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FA6F3E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2E85BF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571C9AE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F6F3BB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954188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A3ED75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7D77FE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152278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7C2DD0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9A71D5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Рилпивирин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B1DF98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7FACFB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BFF7C3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34E2B6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8E479F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40 % (↑ 31–↑ 50)</w:t>
            </w:r>
          </w:p>
          <w:p w14:paraId="5028E21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B77280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91 % (↑ 74–↑ 110)</w:t>
            </w:r>
          </w:p>
        </w:tc>
        <w:tc>
          <w:tcPr>
            <w:tcW w:w="1628" w:type="pct"/>
          </w:tcPr>
          <w:p w14:paraId="3547AF4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, в том числе почечные нарушения. Следует тщательно следить за функцией почек.</w:t>
            </w:r>
          </w:p>
        </w:tc>
      </w:tr>
      <w:tr w:rsidR="0025743F" w:rsidRPr="00704FB4" w14:paraId="2CF9F17D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36B8C72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</w:p>
          <w:p w14:paraId="69BC431C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.) + </w:t>
            </w:r>
            <w:proofErr w:type="spellStart"/>
            <w:r w:rsidRPr="00704FB4">
              <w:rPr>
                <w:rFonts w:eastAsia="Calibri"/>
                <w:szCs w:val="24"/>
              </w:rPr>
              <w:t>Долутегравир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(50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.) + 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(200 мг/</w:t>
            </w:r>
            <w:r w:rsidR="00C748B6" w:rsidRPr="00C748B6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7667684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81772B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3698759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1E370E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  <w:vertAlign w:val="superscript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</w:p>
          <w:p w14:paraId="5D701CD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310F882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BE5FE8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16359A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Ледипасвир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B72AA1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8F31E9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1E8CEE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B559A0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Долутегравир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</w:p>
          <w:p w14:paraId="7E01F36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BE39B7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5D1325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584762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5B6053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2F2242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E61057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B1A98C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663737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65 % (↑ 59–↑ 71)</w:t>
            </w:r>
          </w:p>
          <w:p w14:paraId="4050808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61 % (↑ 51–↑ 72)</w:t>
            </w:r>
          </w:p>
          <w:p w14:paraId="6B5FAA0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: ↑ 115 % </w:t>
            </w:r>
            <w:r w:rsidRPr="00704FB4">
              <w:rPr>
                <w:rFonts w:eastAsia="Calibri"/>
                <w:szCs w:val="24"/>
              </w:rPr>
              <w:lastRenderedPageBreak/>
              <w:t>(↑ 105–↑ 126)</w:t>
            </w:r>
          </w:p>
        </w:tc>
        <w:tc>
          <w:tcPr>
            <w:tcW w:w="1628" w:type="pct"/>
          </w:tcPr>
          <w:p w14:paraId="500A0F4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Коррекция дозы не требуется. Повышение экспозиции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, в том числе почечные нарушения. Следует тщательно следить за функцией почек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5743F" w:rsidRPr="00704FB4" w14:paraId="29ED8058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0BB20D3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48B1074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4A7075D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</w:p>
          <w:p w14:paraId="5765DDD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(300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79FD9E4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11AD398C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D85752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3ECCD2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 </w:t>
            </w:r>
          </w:p>
          <w:p w14:paraId="6E867B5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 </w:t>
            </w:r>
          </w:p>
          <w:p w14:paraId="3837EC8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547A3BE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7058071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C15142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FB441A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42 % (↑ 37–↑ 49)</w:t>
            </w:r>
          </w:p>
          <w:p w14:paraId="5147001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2BDACE6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42CA4F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142 % (↑ 123–↑ 164)</w:t>
            </w:r>
          </w:p>
          <w:p w14:paraId="3FC1CBB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55 % (↑ 41–↑ 71)</w:t>
            </w:r>
          </w:p>
          <w:p w14:paraId="08B0C42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301 % (↑ 257–↑ 350)</w:t>
            </w:r>
          </w:p>
          <w:p w14:paraId="00611CF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28A1676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Атазанавир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307D5C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EA1C80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F82A07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39 % (↑ 20–↑ 61)</w:t>
            </w:r>
          </w:p>
          <w:p w14:paraId="615391E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5E1066F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64ADFB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175E62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30AF1C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29 % (↑ 15–↑ 44)</w:t>
            </w:r>
          </w:p>
          <w:p w14:paraId="65EA657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C44527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41C61D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FE2616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ABE8BC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B04F3F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810E83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55 % (↑ 43–↑ 68)</w:t>
            </w:r>
          </w:p>
          <w:p w14:paraId="1BA9150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39 % (↑ 31–↑ 48)</w:t>
            </w:r>
          </w:p>
        </w:tc>
        <w:tc>
          <w:tcPr>
            <w:tcW w:w="1628" w:type="pct"/>
          </w:tcPr>
          <w:p w14:paraId="40990E07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Повышение концентрации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атазанавира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софосбувиром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или </w:t>
            </w:r>
            <w:proofErr w:type="spellStart"/>
            <w:r w:rsidRPr="00704FB4">
              <w:rPr>
                <w:rFonts w:eastAsia="Calibri"/>
                <w:szCs w:val="24"/>
              </w:rPr>
              <w:t>кобицистатом</w:t>
            </w:r>
            <w:proofErr w:type="spellEnd"/>
            <w:r w:rsidRPr="00704FB4">
              <w:rPr>
                <w:rFonts w:eastAsia="Calibri"/>
                <w:szCs w:val="24"/>
              </w:rPr>
              <w:t>) не установлена.</w:t>
            </w:r>
          </w:p>
          <w:p w14:paraId="4ABC03E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5743F" w:rsidRPr="00704FB4" w14:paraId="2AC52F78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17616CE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0F9B0DC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4A6CE99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</w:p>
          <w:p w14:paraId="4F4AB66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(800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./100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00435D4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335DABC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(200 мг/300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2B92F1D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F54AE7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28 % (↓ 34–↓ 20)</w:t>
            </w:r>
          </w:p>
          <w:p w14:paraId="2EB580D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38 % (↓ 46–↓ 29)</w:t>
            </w:r>
          </w:p>
          <w:p w14:paraId="041BA24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332C404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43AB95A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898EC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DBC8DD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59AB85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6B9EBAC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36FF74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>AUC: ↔</w:t>
            </w:r>
          </w:p>
          <w:p w14:paraId="396D2A7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24 % (↓ 35–↓ 11)</w:t>
            </w:r>
          </w:p>
          <w:p w14:paraId="2C0202E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4350C5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62272B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Дарунавир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3C00C5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9A6EA5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379831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7A707F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2DEA275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AF3F17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B828F2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AB9FAB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BD3555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57E63F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CCDE7C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24095A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2BB016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B31104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449469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39 % (↑ 33–↑ 44)</w:t>
            </w:r>
          </w:p>
          <w:p w14:paraId="5A24B7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55 % (↑ 45–↑ 66)</w:t>
            </w:r>
          </w:p>
          <w:p w14:paraId="4DA3D4F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52 % (↑ 45–↑ 59)</w:t>
            </w:r>
          </w:p>
        </w:tc>
        <w:tc>
          <w:tcPr>
            <w:tcW w:w="1628" w:type="pct"/>
          </w:tcPr>
          <w:p w14:paraId="212D57DA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дарунавира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в том числе почечные нарушения. </w:t>
            </w:r>
            <w:r w:rsidRPr="00704FB4">
              <w:rPr>
                <w:rFonts w:eastAsia="Calibri"/>
                <w:szCs w:val="24"/>
              </w:rPr>
              <w:lastRenderedPageBreak/>
              <w:t xml:space="preserve">Безопасность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софосбувиром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или </w:t>
            </w:r>
            <w:proofErr w:type="spellStart"/>
            <w:r w:rsidRPr="00704FB4">
              <w:rPr>
                <w:rFonts w:eastAsia="Calibri"/>
                <w:szCs w:val="24"/>
              </w:rPr>
              <w:t>кобицистатом</w:t>
            </w:r>
            <w:proofErr w:type="spellEnd"/>
            <w:r w:rsidRPr="00704FB4">
              <w:rPr>
                <w:rFonts w:eastAsia="Calibri"/>
                <w:szCs w:val="24"/>
              </w:rPr>
              <w:t>) не установлена.</w:t>
            </w:r>
          </w:p>
          <w:p w14:paraId="63901D6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Это сочетание следует использовать с осторожностью при частом контроле функции почек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25743F" w:rsidRPr="00704FB4" w14:paraId="31ACBA4F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69BADEC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4100EC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5B84A32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Lopinavir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</w:p>
          <w:p w14:paraId="0A73139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(800 мг/200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7BC433B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3100F0D6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0C24173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F9C3C4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29 % (↓ 36–↓ 22)</w:t>
            </w:r>
          </w:p>
          <w:p w14:paraId="07C2383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41 % (↓ 51–↓ 29)</w:t>
            </w:r>
          </w:p>
          <w:p w14:paraId="40F301C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4596FAF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4C25C15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F7840D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35C3E1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4C6C4D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87AF0D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F76DF9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E6CA29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30 % (↓ 41–↓ 17)</w:t>
            </w:r>
          </w:p>
          <w:p w14:paraId="18A527B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63 % (↑ 43–↑ 85)</w:t>
            </w:r>
          </w:p>
          <w:p w14:paraId="12F129D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48DEE3D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Lopinavir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29D7749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99FA0C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BE73AA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0C0C12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3DBFA5E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Ритонавир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C4C5E7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8D1DDD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6395C4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194CB7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44F0B6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775EAA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1B6E56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08B5BC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D4C1C4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BE5EB3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42 % (↑ 27–↑ 57)</w:t>
            </w:r>
          </w:p>
          <w:p w14:paraId="5E7CAC8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</w:tc>
        <w:tc>
          <w:tcPr>
            <w:tcW w:w="1628" w:type="pct"/>
          </w:tcPr>
          <w:p w14:paraId="6FF30523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</w:rPr>
              <w:t>лопинавира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eastAsia="Calibri"/>
                <w:szCs w:val="24"/>
              </w:rPr>
              <w:t>софосбувиром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/ 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eastAsia="Calibri"/>
                <w:szCs w:val="24"/>
              </w:rPr>
              <w:t>ритонавиром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или </w:t>
            </w:r>
            <w:proofErr w:type="spellStart"/>
            <w:r w:rsidRPr="00704FB4">
              <w:rPr>
                <w:rFonts w:eastAsia="Calibri"/>
                <w:szCs w:val="24"/>
              </w:rPr>
              <w:t>кобицистатом</w:t>
            </w:r>
            <w:proofErr w:type="spellEnd"/>
            <w:r w:rsidRPr="00704FB4">
              <w:rPr>
                <w:rFonts w:eastAsia="Calibri"/>
                <w:szCs w:val="24"/>
              </w:rPr>
              <w:t>) не установлена.</w:t>
            </w:r>
          </w:p>
          <w:p w14:paraId="591910F7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Это сочетание следует использовать с осторожностью при </w:t>
            </w:r>
            <w:r w:rsidRPr="00704FB4">
              <w:rPr>
                <w:rFonts w:eastAsia="Calibri"/>
                <w:szCs w:val="24"/>
              </w:rPr>
              <w:lastRenderedPageBreak/>
              <w:t>частом контроле функции почек.</w:t>
            </w:r>
          </w:p>
        </w:tc>
      </w:tr>
      <w:tr w:rsidR="0025743F" w:rsidRPr="00704FB4" w14:paraId="12C4B5A2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4A7435B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673DEFE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4E29F1E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Ралтегравир</w:t>
            </w:r>
            <w:proofErr w:type="spellEnd"/>
          </w:p>
          <w:p w14:paraId="3A32C5A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 </w:t>
            </w:r>
            <w:proofErr w:type="spellStart"/>
            <w:r w:rsidRPr="00704FB4">
              <w:rPr>
                <w:rFonts w:eastAsia="Calibri"/>
                <w:szCs w:val="24"/>
              </w:rPr>
              <w:t>b.i.d</w:t>
            </w:r>
            <w:proofErr w:type="spellEnd"/>
            <w:r w:rsidRPr="00704FB4">
              <w:rPr>
                <w:rFonts w:eastAsia="Calibri"/>
                <w:szCs w:val="24"/>
              </w:rPr>
              <w:t>) +</w:t>
            </w:r>
          </w:p>
          <w:p w14:paraId="48D44B4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135835C4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A134D5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189B6E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B398DC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A012CC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3A1F1F7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706DDE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D7C310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070A26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C13BF6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CA2DF2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0F56F9D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6BB628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Ралтегравир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2DBFC27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3093240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7D9ABC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21 % (↓ 58–↑ 48)</w:t>
            </w:r>
          </w:p>
          <w:p w14:paraId="149FFAF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86A968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0C1D0AD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134A4A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B9C90D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06EB9C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40 % (↑ 34–↑ 45)</w:t>
            </w:r>
          </w:p>
          <w:p w14:paraId="62DA611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46 % (↑ 39–↑ 54)</w:t>
            </w:r>
          </w:p>
          <w:p w14:paraId="6ECC4A3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70 % (↑ 61–↑ 79)</w:t>
            </w:r>
          </w:p>
        </w:tc>
        <w:tc>
          <w:tcPr>
            <w:tcW w:w="1628" w:type="pct"/>
          </w:tcPr>
          <w:p w14:paraId="2E47C7B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, в том числе почечные нарушения. Следует тщательно следить за функцией почек.</w:t>
            </w:r>
          </w:p>
        </w:tc>
      </w:tr>
      <w:tr w:rsidR="0025743F" w:rsidRPr="00704FB4" w14:paraId="780BB1EE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1F78C3A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76F668D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66208FB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0A354AC0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(600 мг/200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9816C3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522146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774E49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38 % (↑ 14–↑ 67)</w:t>
            </w:r>
          </w:p>
          <w:p w14:paraId="5A7271C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738317E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0738355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262DE0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5EBF4A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815832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53 % (↓ 61–↓ 43)</w:t>
            </w:r>
          </w:p>
          <w:p w14:paraId="6C55834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47 % (↓ 57–↓ 36)</w:t>
            </w:r>
          </w:p>
          <w:p w14:paraId="279AFED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57 % (↓ 64–↓ 48)</w:t>
            </w:r>
          </w:p>
          <w:p w14:paraId="0030085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DBC402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9F5F68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BFE8F0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FC1C30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764BCE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6EAF315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204F7E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3A81BC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033EBBF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81 % (↑ 68–↑ 94)</w:t>
            </w:r>
          </w:p>
          <w:p w14:paraId="18BD092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77 % (↑ 53–↑ 104)</w:t>
            </w:r>
          </w:p>
          <w:p w14:paraId="27151FF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121 % (↑ 100–↑ 143)</w:t>
            </w:r>
          </w:p>
        </w:tc>
        <w:tc>
          <w:tcPr>
            <w:tcW w:w="1628" w:type="pct"/>
          </w:tcPr>
          <w:p w14:paraId="707949A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  <w:lang w:eastAsia="fr-FR"/>
              </w:rPr>
              <w:lastRenderedPageBreak/>
              <w:t xml:space="preserve">Совместное применение 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 xml:space="preserve"> и 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эфавиренза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 xml:space="preserve"> может снизить концентрацию 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 xml:space="preserve"> в плазме. Совместное применение 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софосбувира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 xml:space="preserve"> и схем, содержащих </w:t>
            </w:r>
            <w:proofErr w:type="spellStart"/>
            <w:r w:rsidRPr="00704FB4">
              <w:rPr>
                <w:rFonts w:eastAsia="Calibri"/>
                <w:szCs w:val="24"/>
                <w:lang w:eastAsia="fr-FR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  <w:lang w:eastAsia="fr-FR"/>
              </w:rPr>
              <w:t>, не рекомендуется.</w:t>
            </w:r>
          </w:p>
        </w:tc>
      </w:tr>
      <w:tr w:rsidR="0025743F" w:rsidRPr="00704FB4" w14:paraId="254F3457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73B5FA0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</w:p>
          <w:p w14:paraId="2747025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 +</w:t>
            </w:r>
          </w:p>
          <w:p w14:paraId="6A329FC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Рилпивирин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3329322C" w14:textId="77777777" w:rsidR="0025743F" w:rsidRPr="00704FB4" w:rsidRDefault="0025743F" w:rsidP="00C748B6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(200 мг/25 мг/</w:t>
            </w:r>
            <w:r w:rsidR="00C748B6" w:rsidRPr="00997831">
              <w:rPr>
                <w:rFonts w:eastAsia="Calibri"/>
                <w:szCs w:val="24"/>
              </w:rPr>
              <w:t>300</w:t>
            </w:r>
            <w:r w:rsidRPr="00704FB4">
              <w:rPr>
                <w:rFonts w:eastAsia="Calibri"/>
                <w:szCs w:val="24"/>
              </w:rPr>
              <w:t xml:space="preserve">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4E768C6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34F499F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6C3771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3BB94F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3E4E1CF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55B9549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1F0100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1A3EC8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Велпатасвир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8B6E1C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B0028C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028DE1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6ADDE27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D46BB3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7D89E74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E7B748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5131325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Рилпивирин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764CCE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116AF7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E55218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22F3D03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E88CE2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40 % (↑ 34–↑ 46)</w:t>
            </w:r>
          </w:p>
          <w:p w14:paraId="6158F8F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44 % (↑ 33–↑ 55)</w:t>
            </w:r>
          </w:p>
          <w:p w14:paraId="2D541D6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↑ 84 % (↑ 76–↑ 92)</w:t>
            </w:r>
          </w:p>
        </w:tc>
        <w:tc>
          <w:tcPr>
            <w:tcW w:w="1628" w:type="pct"/>
          </w:tcPr>
          <w:p w14:paraId="0EF9EEE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  <w:lang w:eastAsia="fr-FR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, в том числе почечные нарушения. Следует тщательно следить за функцией почек.</w:t>
            </w:r>
          </w:p>
        </w:tc>
      </w:tr>
      <w:tr w:rsidR="0025743F" w:rsidRPr="00704FB4" w14:paraId="01A0EC82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6A97C352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Софосбувир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Велпатасвир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/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Воксилапревир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(400 мг/100 мг/ 100 мг+100 мг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q.d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>.)</w:t>
            </w:r>
            <w:r w:rsidRPr="00704FB4">
              <w:rPr>
                <w:color w:val="000000"/>
                <w:szCs w:val="24"/>
                <w:shd w:val="clear" w:color="auto" w:fill="FFFFFF"/>
                <w:vertAlign w:val="superscript"/>
              </w:rPr>
              <w:t>3</w:t>
            </w:r>
            <w:r w:rsidRPr="00704FB4">
              <w:rPr>
                <w:color w:val="000000"/>
                <w:szCs w:val="24"/>
                <w:shd w:val="clear" w:color="auto" w:fill="FFFFFF"/>
              </w:rPr>
              <w:t xml:space="preserve"> +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Дарунавир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(800 мг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q.d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.) +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Ритонавир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(100 мг </w:t>
            </w:r>
            <w:r w:rsidRPr="00704FB4">
              <w:rPr>
                <w:color w:val="000000"/>
                <w:szCs w:val="24"/>
                <w:shd w:val="clear" w:color="auto" w:fill="FFFFFF"/>
                <w:lang w:val="en-US"/>
              </w:rPr>
              <w:t>q</w:t>
            </w:r>
            <w:r w:rsidRPr="00704FB4">
              <w:rPr>
                <w:color w:val="000000"/>
                <w:szCs w:val="24"/>
                <w:shd w:val="clear" w:color="auto" w:fill="FFFFFF"/>
              </w:rPr>
              <w:t>.</w:t>
            </w:r>
            <w:r w:rsidRPr="00704FB4">
              <w:rPr>
                <w:color w:val="000000"/>
                <w:szCs w:val="24"/>
                <w:shd w:val="clear" w:color="auto" w:fill="FFFFFF"/>
                <w:lang w:val="en-US"/>
              </w:rPr>
              <w:t>d</w:t>
            </w:r>
            <w:r w:rsidRPr="00704FB4">
              <w:rPr>
                <w:color w:val="000000"/>
                <w:szCs w:val="24"/>
                <w:shd w:val="clear" w:color="auto" w:fill="FFFFFF"/>
              </w:rPr>
              <w:t xml:space="preserve">.) +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Эмтрицитабин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>/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Тенофовира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дизопроксила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704FB4">
              <w:rPr>
                <w:color w:val="000000"/>
                <w:szCs w:val="24"/>
                <w:shd w:val="clear" w:color="auto" w:fill="FFFFFF"/>
              </w:rPr>
              <w:t>фумарат</w:t>
            </w:r>
            <w:proofErr w:type="spellEnd"/>
            <w:r w:rsidRPr="00704FB4">
              <w:rPr>
                <w:color w:val="000000"/>
                <w:szCs w:val="24"/>
                <w:shd w:val="clear" w:color="auto" w:fill="FFFFFF"/>
              </w:rPr>
              <w:t xml:space="preserve"> (200 мг/300 мг </w:t>
            </w:r>
            <w:r w:rsidRPr="00704FB4">
              <w:rPr>
                <w:color w:val="000000"/>
                <w:szCs w:val="24"/>
                <w:shd w:val="clear" w:color="auto" w:fill="FFFFFF"/>
                <w:lang w:val="en-US"/>
              </w:rPr>
              <w:t>q</w:t>
            </w:r>
            <w:r w:rsidRPr="00704FB4">
              <w:rPr>
                <w:color w:val="000000"/>
                <w:szCs w:val="24"/>
                <w:shd w:val="clear" w:color="auto" w:fill="FFFFFF"/>
              </w:rPr>
              <w:t>.</w:t>
            </w:r>
            <w:r w:rsidRPr="00704FB4">
              <w:rPr>
                <w:color w:val="000000"/>
                <w:szCs w:val="24"/>
                <w:shd w:val="clear" w:color="auto" w:fill="FFFFFF"/>
                <w:lang w:val="en-US"/>
              </w:rPr>
              <w:t>d</w:t>
            </w:r>
            <w:r w:rsidRPr="00704FB4">
              <w:rPr>
                <w:color w:val="000000"/>
                <w:szCs w:val="24"/>
                <w:shd w:val="clear" w:color="auto" w:fill="FFFFFF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5B2D1933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Софосбувир</w:t>
            </w:r>
            <w:proofErr w:type="spellEnd"/>
            <w:r w:rsidRPr="00704FB4">
              <w:rPr>
                <w:color w:val="000000"/>
              </w:rPr>
              <w:t>:</w:t>
            </w:r>
          </w:p>
          <w:p w14:paraId="6C2C8F65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FB4">
              <w:rPr>
                <w:color w:val="000000"/>
                <w:lang w:val="en-US"/>
              </w:rPr>
              <w:t>AUC</w:t>
            </w:r>
            <w:r w:rsidRPr="00704FB4">
              <w:rPr>
                <w:color w:val="000000"/>
              </w:rPr>
              <w:t>: ↔</w:t>
            </w:r>
          </w:p>
          <w:p w14:paraId="0485F5AE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</w:rPr>
              <w:t>: ↓ 30%</w:t>
            </w:r>
          </w:p>
          <w:p w14:paraId="222EBB8D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</w:rPr>
              <w:t xml:space="preserve">: </w:t>
            </w:r>
            <w:r w:rsidRPr="00704FB4">
              <w:rPr>
                <w:color w:val="000000"/>
                <w:lang w:val="en-US"/>
              </w:rPr>
              <w:t>N</w:t>
            </w:r>
            <w:r w:rsidRPr="00704FB4">
              <w:rPr>
                <w:color w:val="000000"/>
              </w:rPr>
              <w:t>/</w:t>
            </w:r>
            <w:r w:rsidRPr="00704FB4">
              <w:rPr>
                <w:color w:val="000000"/>
                <w:lang w:val="en-US"/>
              </w:rPr>
              <w:t>A</w:t>
            </w:r>
          </w:p>
          <w:p w14:paraId="75DDD18F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GS-331007</w:t>
            </w:r>
            <w:r w:rsidRPr="00704FB4">
              <w:rPr>
                <w:color w:val="000000"/>
                <w:vertAlign w:val="superscript"/>
                <w:lang w:val="en-US"/>
              </w:rPr>
              <w:t>2</w:t>
            </w:r>
            <w:r w:rsidRPr="00704FB4">
              <w:rPr>
                <w:color w:val="000000"/>
                <w:lang w:val="en-US"/>
              </w:rPr>
              <w:t>:</w:t>
            </w:r>
          </w:p>
          <w:p w14:paraId="59BD43C6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4CDDE144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:↔</w:t>
            </w:r>
          </w:p>
          <w:p w14:paraId="7717BB7A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N/A</w:t>
            </w:r>
          </w:p>
          <w:p w14:paraId="648025FD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Велпатасвир</w:t>
            </w:r>
            <w:proofErr w:type="spellEnd"/>
            <w:r w:rsidRPr="00704FB4">
              <w:rPr>
                <w:color w:val="000000"/>
                <w:lang w:val="en-US"/>
              </w:rPr>
              <w:t>:</w:t>
            </w:r>
          </w:p>
          <w:p w14:paraId="233E3FB1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261E288B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6E061BA8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lastRenderedPageBreak/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7B6000F3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Воксилапревир</w:t>
            </w:r>
            <w:proofErr w:type="spellEnd"/>
            <w:r w:rsidRPr="00704FB4">
              <w:rPr>
                <w:color w:val="000000"/>
                <w:lang w:val="en-US"/>
              </w:rPr>
              <w:t>:</w:t>
            </w:r>
          </w:p>
          <w:p w14:paraId="2D117379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↑ 143%</w:t>
            </w:r>
          </w:p>
          <w:p w14:paraId="1187B2EA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:↑ 72%</w:t>
            </w:r>
          </w:p>
          <w:p w14:paraId="1DE77933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↑ 300%</w:t>
            </w:r>
          </w:p>
          <w:p w14:paraId="54216A39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Дарунавир</w:t>
            </w:r>
            <w:proofErr w:type="spellEnd"/>
            <w:r w:rsidRPr="00704FB4">
              <w:rPr>
                <w:color w:val="000000"/>
                <w:lang w:val="en-US"/>
              </w:rPr>
              <w:t>:</w:t>
            </w:r>
          </w:p>
          <w:p w14:paraId="20F4FE9A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71D81104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0911B3B4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↓ 34%</w:t>
            </w:r>
          </w:p>
          <w:p w14:paraId="0727AD94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Ритонавир</w:t>
            </w:r>
            <w:proofErr w:type="spellEnd"/>
            <w:r w:rsidRPr="00704FB4">
              <w:rPr>
                <w:color w:val="000000"/>
                <w:lang w:val="en-US"/>
              </w:rPr>
              <w:t>:</w:t>
            </w:r>
          </w:p>
          <w:p w14:paraId="183AA830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↑ 45%</w:t>
            </w:r>
          </w:p>
          <w:p w14:paraId="1D52ED5E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↑ 60%</w:t>
            </w:r>
          </w:p>
          <w:p w14:paraId="1168DDE8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7F15CDF1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Эмтрицитабин</w:t>
            </w:r>
            <w:proofErr w:type="spellEnd"/>
            <w:r w:rsidRPr="00704FB4">
              <w:rPr>
                <w:color w:val="000000"/>
                <w:lang w:val="en-US"/>
              </w:rPr>
              <w:t>:</w:t>
            </w:r>
          </w:p>
          <w:p w14:paraId="028A8D64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185EEC1A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0C9472D3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3605B6CF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Тенофовир</w:t>
            </w:r>
            <w:proofErr w:type="spellEnd"/>
            <w:r w:rsidRPr="00704FB4">
              <w:rPr>
                <w:color w:val="000000"/>
              </w:rPr>
              <w:t>:</w:t>
            </w:r>
          </w:p>
          <w:p w14:paraId="1442F8D8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FB4">
              <w:rPr>
                <w:color w:val="000000"/>
              </w:rPr>
              <w:t>AUC: ↑ 39%</w:t>
            </w:r>
          </w:p>
          <w:p w14:paraId="6851418B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C</w:t>
            </w:r>
            <w:r w:rsidRPr="00704FB4">
              <w:rPr>
                <w:color w:val="000000"/>
                <w:vertAlign w:val="subscript"/>
              </w:rPr>
              <w:t>max</w:t>
            </w:r>
            <w:proofErr w:type="spellEnd"/>
            <w:r w:rsidRPr="00704FB4">
              <w:rPr>
                <w:color w:val="000000"/>
              </w:rPr>
              <w:t>: ↑ 48%</w:t>
            </w:r>
          </w:p>
          <w:p w14:paraId="104C71DA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C</w:t>
            </w:r>
            <w:r w:rsidRPr="00704FB4">
              <w:rPr>
                <w:color w:val="000000"/>
                <w:vertAlign w:val="subscript"/>
              </w:rPr>
              <w:t>min</w:t>
            </w:r>
            <w:proofErr w:type="spellEnd"/>
            <w:r w:rsidRPr="00704FB4">
              <w:rPr>
                <w:color w:val="000000"/>
              </w:rPr>
              <w:t>: ↑ 47%</w:t>
            </w:r>
          </w:p>
        </w:tc>
        <w:tc>
          <w:tcPr>
            <w:tcW w:w="1628" w:type="pct"/>
          </w:tcPr>
          <w:p w14:paraId="5FB87170" w14:textId="77777777" w:rsidR="0025743F" w:rsidRPr="00704FB4" w:rsidRDefault="0025743F" w:rsidP="004448BB">
            <w:pPr>
              <w:pStyle w:val="af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4FB4">
              <w:rPr>
                <w:color w:val="000000"/>
              </w:rPr>
              <w:lastRenderedPageBreak/>
              <w:t xml:space="preserve">Повышенные концентрации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в плазме в результате совместного введения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дизопроксила</w:t>
            </w:r>
            <w:proofErr w:type="spellEnd"/>
            <w:r w:rsidRPr="00704FB4">
              <w:rPr>
                <w:color w:val="000000"/>
              </w:rPr>
              <w:t xml:space="preserve">, </w:t>
            </w:r>
            <w:proofErr w:type="spellStart"/>
            <w:r w:rsidRPr="00704FB4">
              <w:rPr>
                <w:color w:val="000000"/>
              </w:rPr>
              <w:t>софосбувира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велпатасвира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воксилапревира</w:t>
            </w:r>
            <w:proofErr w:type="spellEnd"/>
            <w:r w:rsidRPr="00704FB4">
              <w:rPr>
                <w:color w:val="000000"/>
              </w:rPr>
              <w:t xml:space="preserve"> и </w:t>
            </w:r>
            <w:proofErr w:type="spellStart"/>
            <w:r w:rsidRPr="00704FB4">
              <w:rPr>
                <w:color w:val="000000"/>
              </w:rPr>
              <w:t>дарунавира</w:t>
            </w:r>
            <w:proofErr w:type="spellEnd"/>
            <w:r w:rsidRPr="00704FB4">
              <w:rPr>
                <w:color w:val="000000"/>
              </w:rPr>
              <w:t>/</w:t>
            </w:r>
            <w:proofErr w:type="spellStart"/>
            <w:r w:rsidRPr="00704FB4">
              <w:rPr>
                <w:color w:val="000000"/>
              </w:rPr>
              <w:t>ритонавира</w:t>
            </w:r>
            <w:proofErr w:type="spellEnd"/>
            <w:r w:rsidRPr="00704FB4">
              <w:rPr>
                <w:color w:val="000000"/>
              </w:rPr>
              <w:t xml:space="preserve"> могут усиливать побочные реакции, связанные с </w:t>
            </w:r>
            <w:proofErr w:type="spellStart"/>
            <w:r w:rsidRPr="00704FB4">
              <w:rPr>
                <w:color w:val="000000"/>
              </w:rPr>
              <w:lastRenderedPageBreak/>
              <w:t>тенофовиром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дизопроксилом</w:t>
            </w:r>
            <w:proofErr w:type="spellEnd"/>
            <w:r w:rsidRPr="00704FB4">
              <w:rPr>
                <w:color w:val="000000"/>
              </w:rPr>
              <w:t xml:space="preserve">, включая нарушения функции почек. Безопасность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дизопроксила</w:t>
            </w:r>
            <w:proofErr w:type="spellEnd"/>
            <w:r w:rsidRPr="00704FB4">
              <w:rPr>
                <w:color w:val="000000"/>
              </w:rPr>
              <w:t xml:space="preserve"> при использовании с </w:t>
            </w:r>
            <w:proofErr w:type="spellStart"/>
            <w:r w:rsidRPr="00704FB4">
              <w:rPr>
                <w:color w:val="000000"/>
              </w:rPr>
              <w:t>софосбувиром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велпатасвиром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воксилапревиром</w:t>
            </w:r>
            <w:proofErr w:type="spellEnd"/>
            <w:r w:rsidRPr="00704FB4">
              <w:rPr>
                <w:color w:val="000000"/>
              </w:rPr>
              <w:t xml:space="preserve"> и фармакокинетическим энхансером (например, </w:t>
            </w:r>
            <w:proofErr w:type="spellStart"/>
            <w:r w:rsidRPr="00704FB4">
              <w:rPr>
                <w:color w:val="000000"/>
              </w:rPr>
              <w:t>ритонавиром</w:t>
            </w:r>
            <w:proofErr w:type="spellEnd"/>
            <w:r w:rsidRPr="00704FB4">
              <w:rPr>
                <w:color w:val="000000"/>
              </w:rPr>
              <w:t xml:space="preserve"> или </w:t>
            </w:r>
            <w:proofErr w:type="spellStart"/>
            <w:r w:rsidRPr="00704FB4">
              <w:rPr>
                <w:color w:val="000000"/>
              </w:rPr>
              <w:t>кобицистатом</w:t>
            </w:r>
            <w:proofErr w:type="spellEnd"/>
            <w:r w:rsidRPr="00704FB4">
              <w:rPr>
                <w:color w:val="000000"/>
              </w:rPr>
              <w:t>) не была установлена.</w:t>
            </w:r>
          </w:p>
          <w:p w14:paraId="41E4CD33" w14:textId="77777777" w:rsidR="0025743F" w:rsidRPr="00704FB4" w:rsidRDefault="0025743F" w:rsidP="004448BB">
            <w:pPr>
              <w:jc w:val="both"/>
              <w:rPr>
                <w:rFonts w:eastAsia="Calibri"/>
                <w:szCs w:val="24"/>
              </w:rPr>
            </w:pPr>
            <w:r w:rsidRPr="00704FB4">
              <w:rPr>
                <w:color w:val="000000"/>
                <w:szCs w:val="24"/>
              </w:rPr>
              <w:t>Следует тщательно следить за функцией почек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25743F" w:rsidRPr="00704FB4" w14:paraId="1EBFF232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159DD59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Софосбувир</w:t>
            </w:r>
            <w:proofErr w:type="spellEnd"/>
          </w:p>
          <w:p w14:paraId="6317318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(400</w:t>
            </w:r>
            <w:r w:rsidRPr="00704FB4">
              <w:rPr>
                <w:rFonts w:eastAsia="Calibri"/>
                <w:szCs w:val="24"/>
                <w:lang w:val="en-US"/>
              </w:rPr>
              <w:t> </w:t>
            </w:r>
            <w:r w:rsidRPr="00704FB4">
              <w:rPr>
                <w:rFonts w:eastAsia="Calibri"/>
                <w:szCs w:val="24"/>
              </w:rPr>
              <w:t xml:space="preserve">мг </w:t>
            </w:r>
            <w:r w:rsidRPr="00704FB4">
              <w:rPr>
                <w:rFonts w:eastAsia="Calibri"/>
                <w:szCs w:val="24"/>
                <w:lang w:val="en-US"/>
              </w:rPr>
              <w:t>q</w:t>
            </w:r>
            <w:r w:rsidRPr="00704FB4">
              <w:rPr>
                <w:rFonts w:eastAsia="Calibri"/>
                <w:szCs w:val="24"/>
              </w:rPr>
              <w:t>.</w:t>
            </w:r>
            <w:r w:rsidRPr="00704FB4">
              <w:rPr>
                <w:rFonts w:eastAsia="Calibri"/>
                <w:szCs w:val="24"/>
                <w:lang w:val="en-US"/>
              </w:rPr>
              <w:t>d</w:t>
            </w:r>
            <w:r w:rsidRPr="00704FB4">
              <w:rPr>
                <w:rFonts w:eastAsia="Calibri"/>
                <w:szCs w:val="24"/>
              </w:rPr>
              <w:t>.) +</w:t>
            </w:r>
          </w:p>
          <w:p w14:paraId="0BD41E8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  <w:p w14:paraId="63A4541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(600 мг/200 мг/300 мг </w:t>
            </w:r>
            <w:proofErr w:type="spellStart"/>
            <w:r w:rsidRPr="00704FB4">
              <w:rPr>
                <w:rFonts w:eastAsia="Calibri"/>
                <w:szCs w:val="24"/>
              </w:rPr>
              <w:t>q.d</w:t>
            </w:r>
            <w:proofErr w:type="spellEnd"/>
            <w:r w:rsidRPr="00704FB4">
              <w:rPr>
                <w:rFonts w:eastAsia="Calibri"/>
                <w:szCs w:val="24"/>
              </w:rPr>
              <w:t>.)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23C07B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Софосбувир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402061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1CB0D38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19 % (↓ 40–↑ 10)</w:t>
            </w:r>
          </w:p>
          <w:p w14:paraId="46AF07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GS</w:t>
            </w:r>
            <w:r w:rsidRPr="00704FB4">
              <w:rPr>
                <w:rFonts w:eastAsia="Calibri"/>
                <w:szCs w:val="24"/>
              </w:rPr>
              <w:noBreakHyphen/>
              <w:t>331007</w:t>
            </w:r>
            <w:r w:rsidRPr="00704FB4">
              <w:rPr>
                <w:rFonts w:eastAsia="Calibri"/>
                <w:szCs w:val="24"/>
                <w:vertAlign w:val="superscript"/>
              </w:rPr>
              <w:t>2</w:t>
            </w:r>
            <w:r w:rsidRPr="00704FB4">
              <w:rPr>
                <w:rFonts w:eastAsia="Calibri"/>
                <w:szCs w:val="24"/>
              </w:rPr>
              <w:t>:</w:t>
            </w:r>
          </w:p>
          <w:p w14:paraId="43C675C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2FA2204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23 % (↓ 30–↑ 16)</w:t>
            </w:r>
          </w:p>
          <w:p w14:paraId="79BCFF5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Эфавиренз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29D55C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48F04F6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46228D9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369EA0A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7E86662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050AFD6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11A83AA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  <w:p w14:paraId="7DDED12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80B107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↔</w:t>
            </w:r>
          </w:p>
          <w:p w14:paraId="0B82DDA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25 % (↑ 8–↑ 45)</w:t>
            </w:r>
          </w:p>
          <w:p w14:paraId="367EFDC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↔</w:t>
            </w:r>
          </w:p>
        </w:tc>
        <w:tc>
          <w:tcPr>
            <w:tcW w:w="1628" w:type="pct"/>
          </w:tcPr>
          <w:p w14:paraId="40DAA38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Коррекция дозы не требуется.</w:t>
            </w:r>
          </w:p>
        </w:tc>
      </w:tr>
      <w:tr w:rsidR="0025743F" w:rsidRPr="00704FB4" w14:paraId="61D597FD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44BB299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Рибавирин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5B36DC3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Рибавирин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2AA444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26 % (↑ 20–↑ 32)</w:t>
            </w:r>
          </w:p>
          <w:p w14:paraId="390B2B8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5 % (↓ 11–↑ 1)</w:t>
            </w:r>
          </w:p>
          <w:p w14:paraId="7C91563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6EA5986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</w:t>
            </w:r>
            <w:proofErr w:type="spellStart"/>
            <w:r w:rsidRPr="00704FB4">
              <w:rPr>
                <w:rFonts w:eastAsia="Calibri"/>
                <w:szCs w:val="24"/>
              </w:rPr>
              <w:t>рибавирина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требуется.</w:t>
            </w:r>
          </w:p>
        </w:tc>
      </w:tr>
      <w:tr w:rsidR="0025743F" w:rsidRPr="00704FB4" w14:paraId="328F5CD5" w14:textId="77777777" w:rsidTr="0025743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34B1A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szCs w:val="24"/>
              </w:rPr>
              <w:t>Средства, действующие на вирус герпеса</w:t>
            </w:r>
          </w:p>
        </w:tc>
      </w:tr>
      <w:tr w:rsidR="0025743F" w:rsidRPr="00704FB4" w14:paraId="63A210C7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40E92E1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Фамцикловир/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4C99487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Фамцикловир:</w:t>
            </w:r>
          </w:p>
          <w:p w14:paraId="2F7D2A7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9 % (↓ 16–↓ 1)</w:t>
            </w:r>
          </w:p>
          <w:p w14:paraId="6FD1C92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7 % (↓ 22–↑ 11)</w:t>
            </w:r>
          </w:p>
          <w:p w14:paraId="5E1FAFE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00ACABD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B49B01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4F58A1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7 % (↓ 13–↓ 1)</w:t>
            </w:r>
          </w:p>
          <w:p w14:paraId="6AC0A0F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11 % (↓ 20–↑ 1)</w:t>
            </w:r>
          </w:p>
          <w:p w14:paraId="7AEB745F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35DC688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>Коррекция дозы фамцикловира не требуется.</w:t>
            </w:r>
          </w:p>
        </w:tc>
      </w:tr>
      <w:tr w:rsidR="0025743F" w:rsidRPr="00704FB4" w14:paraId="1F261628" w14:textId="77777777" w:rsidTr="0025743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5B6A7C0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b/>
                <w:szCs w:val="24"/>
              </w:rPr>
              <w:t>Противомикобактериальные</w:t>
            </w:r>
            <w:proofErr w:type="spellEnd"/>
          </w:p>
        </w:tc>
      </w:tr>
      <w:tr w:rsidR="0025743F" w:rsidRPr="00704FB4" w14:paraId="7234A002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132CB3A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Рифампицин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34F5E81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58D47D1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12 % (↓ 16–↓ 8)</w:t>
            </w:r>
          </w:p>
          <w:p w14:paraId="6ACF959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16 % (↓ 22–↓ 10)</w:t>
            </w:r>
          </w:p>
          <w:p w14:paraId="38AA076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15 % (↓ 12–↓ 9)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6DEB2D4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Коррекция дозы не требуется.</w:t>
            </w:r>
          </w:p>
        </w:tc>
      </w:tr>
      <w:tr w:rsidR="0025743F" w:rsidRPr="00704FB4" w14:paraId="4A26E197" w14:textId="77777777" w:rsidTr="0025743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67EB54F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i/>
                <w:szCs w:val="24"/>
              </w:rPr>
              <w:t>ПЕРОРАЛЬНЫЕ КОНТРАЦЕПТИВЫ</w:t>
            </w:r>
          </w:p>
        </w:tc>
      </w:tr>
      <w:tr w:rsidR="0025743F" w:rsidRPr="00704FB4" w14:paraId="784A262E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50A94C9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Норгестимат</w:t>
            </w:r>
            <w:proofErr w:type="spellEnd"/>
            <w:r w:rsidRPr="00704FB4">
              <w:rPr>
                <w:rFonts w:eastAsia="Calibri"/>
                <w:szCs w:val="24"/>
              </w:rPr>
              <w:t>/Этинилэстрадиол/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09EC7542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Норгестимат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4F5B192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4 % (↓ 32–↑ 34)</w:t>
            </w:r>
          </w:p>
          <w:p w14:paraId="74DFCAA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5 % (↓ 27–↑ 24)</w:t>
            </w:r>
          </w:p>
          <w:p w14:paraId="486E1CF8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435A27D7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4B7437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Этинилэстрадиол:</w:t>
            </w:r>
          </w:p>
          <w:p w14:paraId="35A3F65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4 % (↓ 9–↑ 0)</w:t>
            </w:r>
          </w:p>
          <w:p w14:paraId="6E2E0D7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 6 % (↓ 13–↑ 0)</w:t>
            </w:r>
          </w:p>
          <w:p w14:paraId="77C69DD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↓ 2 % (↓ 9–↑ 6)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19A2094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 xml:space="preserve">Коррекция дозы </w:t>
            </w:r>
            <w:proofErr w:type="spellStart"/>
            <w:r w:rsidRPr="00704FB4">
              <w:rPr>
                <w:rFonts w:eastAsia="Calibri"/>
                <w:szCs w:val="24"/>
              </w:rPr>
              <w:t>норгестимата</w:t>
            </w:r>
            <w:proofErr w:type="spellEnd"/>
            <w:r w:rsidRPr="00704FB4">
              <w:rPr>
                <w:rFonts w:eastAsia="Calibri"/>
                <w:szCs w:val="24"/>
              </w:rPr>
              <w:t>/этинилэстрадиола не требуется.</w:t>
            </w:r>
          </w:p>
        </w:tc>
      </w:tr>
      <w:tr w:rsidR="0025743F" w:rsidRPr="00704FB4" w14:paraId="6CC74C83" w14:textId="77777777" w:rsidTr="0025743F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4FA7A08E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b/>
                <w:i/>
                <w:szCs w:val="24"/>
              </w:rPr>
              <w:t>ИММУНОДЕПРЕССАНТЫ</w:t>
            </w:r>
          </w:p>
        </w:tc>
      </w:tr>
      <w:tr w:rsidR="0025743F" w:rsidRPr="00704FB4" w14:paraId="463D72E7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34CF312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Такролимус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  <w:r w:rsidRPr="00704FB4">
              <w:rPr>
                <w:rFonts w:eastAsia="Calibri"/>
                <w:szCs w:val="24"/>
              </w:rPr>
              <w:t>/</w:t>
            </w: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0B9C9C6D" w14:textId="77777777" w:rsidR="0025743F" w:rsidRPr="00704FB4" w:rsidRDefault="0025743F" w:rsidP="004448BB">
            <w:pPr>
              <w:jc w:val="both"/>
              <w:rPr>
                <w:rFonts w:eastAsia="Calibri"/>
                <w:b/>
                <w:i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Такролимус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229C87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4 % (↓ 3–↑ 11)</w:t>
            </w:r>
          </w:p>
          <w:p w14:paraId="67FCEA1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3 % (↓ 3–↑ 9)</w:t>
            </w:r>
          </w:p>
          <w:p w14:paraId="6CACE179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3F52C17D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Эмтрицитабин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64D5ACDA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↓ 5 % (↓ 9–↓ 1)</w:t>
            </w:r>
          </w:p>
          <w:p w14:paraId="74551C3B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↓ 11 % (↓ 17–↓ 5)</w:t>
            </w:r>
          </w:p>
          <w:p w14:paraId="0028F90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  <w:p w14:paraId="3EE52854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</w:p>
          <w:p w14:paraId="7848E24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Тенофовир</w:t>
            </w:r>
            <w:proofErr w:type="spellEnd"/>
            <w:r w:rsidRPr="00704FB4">
              <w:rPr>
                <w:rFonts w:eastAsia="Calibri"/>
                <w:szCs w:val="24"/>
              </w:rPr>
              <w:t>:</w:t>
            </w:r>
          </w:p>
          <w:p w14:paraId="1F1CA145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6 % (↓ 1–↑ 13)</w:t>
            </w:r>
          </w:p>
          <w:p w14:paraId="28639CD3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↑13 % (↑ 1–↑ 27)</w:t>
            </w:r>
          </w:p>
          <w:p w14:paraId="10840C71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lastRenderedPageBreak/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34DE10F6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lastRenderedPageBreak/>
              <w:t xml:space="preserve">Коррекция дозы </w:t>
            </w:r>
            <w:proofErr w:type="spellStart"/>
            <w:r w:rsidRPr="00704FB4">
              <w:rPr>
                <w:rFonts w:eastAsia="Calibri"/>
                <w:szCs w:val="24"/>
              </w:rPr>
              <w:t>такролимуса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не требуется.</w:t>
            </w:r>
          </w:p>
        </w:tc>
      </w:tr>
      <w:tr w:rsidR="0025743F" w:rsidRPr="00704FB4" w14:paraId="15F6BE1F" w14:textId="77777777" w:rsidTr="0025743F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5000" w:type="pct"/>
            <w:gridSpan w:val="3"/>
          </w:tcPr>
          <w:p w14:paraId="3E6DD0F9" w14:textId="77777777" w:rsidR="0025743F" w:rsidRPr="00704FB4" w:rsidRDefault="0025743F" w:rsidP="004448BB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704FB4">
              <w:rPr>
                <w:rFonts w:eastAsia="Calibri"/>
                <w:b/>
                <w:i/>
                <w:szCs w:val="24"/>
              </w:rPr>
              <w:t>НАРКОТИЧЕСКИЕ АНАЛЬГЕТИКИ</w:t>
            </w:r>
          </w:p>
        </w:tc>
      </w:tr>
      <w:tr w:rsidR="0025743F" w:rsidRPr="00704FB4" w14:paraId="10CA5CB9" w14:textId="77777777" w:rsidTr="00014714">
        <w:tc>
          <w:tcPr>
            <w:tcW w:w="2177" w:type="pct"/>
            <w:tcBorders>
              <w:top w:val="single" w:sz="4" w:space="0" w:color="auto"/>
              <w:bottom w:val="single" w:sz="4" w:space="0" w:color="auto"/>
            </w:tcBorders>
          </w:tcPr>
          <w:p w14:paraId="35E860B0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Метадон/</w:t>
            </w:r>
            <w:proofErr w:type="spellStart"/>
            <w:r w:rsidRPr="00704FB4">
              <w:rPr>
                <w:rFonts w:eastAsia="Calibri"/>
                <w:szCs w:val="24"/>
              </w:rPr>
              <w:t>Тенофовира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дизопроксила</w:t>
            </w:r>
            <w:proofErr w:type="spellEnd"/>
            <w:r w:rsidRPr="00704FB4">
              <w:rPr>
                <w:rFonts w:eastAsia="Calibri"/>
                <w:szCs w:val="24"/>
              </w:rPr>
              <w:t xml:space="preserve"> </w:t>
            </w:r>
            <w:proofErr w:type="spellStart"/>
            <w:r w:rsidRPr="00704FB4">
              <w:rPr>
                <w:rFonts w:eastAsia="Calibri"/>
                <w:szCs w:val="24"/>
              </w:rPr>
              <w:t>фумарат</w:t>
            </w:r>
            <w:proofErr w:type="spellEnd"/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2ED206F9" w14:textId="77777777" w:rsidR="0025743F" w:rsidRPr="00704FB4" w:rsidRDefault="0025743F" w:rsidP="004448BB">
            <w:pPr>
              <w:jc w:val="both"/>
              <w:rPr>
                <w:rFonts w:eastAsia="Calibri"/>
                <w:b/>
                <w:i/>
                <w:szCs w:val="24"/>
              </w:rPr>
            </w:pPr>
            <w:r w:rsidRPr="00704FB4">
              <w:rPr>
                <w:rFonts w:eastAsia="Calibri"/>
                <w:szCs w:val="24"/>
              </w:rPr>
              <w:t>Метадон:</w:t>
            </w:r>
          </w:p>
          <w:p w14:paraId="4A62396D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AUC: ↑ 5 % (↓ 2–↑ 13)</w:t>
            </w:r>
          </w:p>
          <w:p w14:paraId="3541E290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eastAsia="Calibri"/>
                <w:szCs w:val="24"/>
              </w:rPr>
              <w:t>: ↑ 5 % (↓ 3–↑ 14)</w:t>
            </w:r>
          </w:p>
          <w:p w14:paraId="3B9D9198" w14:textId="77777777" w:rsidR="0025743F" w:rsidRPr="00704FB4" w:rsidRDefault="0025743F" w:rsidP="004448BB">
            <w:pPr>
              <w:rPr>
                <w:rFonts w:eastAsia="Calibri"/>
                <w:b/>
                <w:szCs w:val="24"/>
              </w:rPr>
            </w:pPr>
            <w:proofErr w:type="spellStart"/>
            <w:r w:rsidRPr="00704FB4">
              <w:rPr>
                <w:rFonts w:eastAsia="Calibri"/>
                <w:szCs w:val="24"/>
              </w:rPr>
              <w:t>C</w:t>
            </w:r>
            <w:r w:rsidRPr="00704FB4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eastAsia="Calibri"/>
                <w:szCs w:val="24"/>
              </w:rPr>
              <w:t>: НВ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14:paraId="26E7418C" w14:textId="77777777" w:rsidR="0025743F" w:rsidRPr="00704FB4" w:rsidRDefault="0025743F" w:rsidP="004448BB">
            <w:pPr>
              <w:jc w:val="both"/>
              <w:rPr>
                <w:rFonts w:eastAsia="Calibri"/>
                <w:b/>
                <w:szCs w:val="24"/>
              </w:rPr>
            </w:pPr>
            <w:r w:rsidRPr="00704FB4">
              <w:rPr>
                <w:rFonts w:eastAsia="Calibri"/>
                <w:szCs w:val="24"/>
              </w:rPr>
              <w:t>Коррекция дозы метадона не требуется.</w:t>
            </w:r>
          </w:p>
        </w:tc>
      </w:tr>
    </w:tbl>
    <w:p w14:paraId="3E53D5E9" w14:textId="77777777" w:rsidR="00835A72" w:rsidRPr="00CD2168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CD2168">
        <w:rPr>
          <w:rFonts w:eastAsia="Calibri"/>
          <w:bCs/>
          <w:szCs w:val="24"/>
          <w:lang w:eastAsia="en-US"/>
        </w:rPr>
        <w:t>НВ = не вычислено.</w:t>
      </w:r>
    </w:p>
    <w:p w14:paraId="31422808" w14:textId="77777777" w:rsidR="00835A72" w:rsidRPr="00CD2168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CD2168">
        <w:rPr>
          <w:rFonts w:eastAsia="Calibri"/>
          <w:bCs/>
          <w:szCs w:val="24"/>
          <w:vertAlign w:val="superscript"/>
          <w:lang w:eastAsia="en-US"/>
        </w:rPr>
        <w:t>1</w:t>
      </w:r>
      <w:r w:rsidRPr="00CD2168">
        <w:rPr>
          <w:rFonts w:eastAsia="Calibri"/>
          <w:bCs/>
          <w:szCs w:val="24"/>
          <w:lang w:eastAsia="en-US"/>
        </w:rPr>
        <w:t xml:space="preserve"> Данные получены при одновременном введении с </w:t>
      </w:r>
      <w:proofErr w:type="spellStart"/>
      <w:r w:rsidRPr="00CD2168">
        <w:rPr>
          <w:rFonts w:eastAsia="Calibri"/>
          <w:bCs/>
          <w:szCs w:val="24"/>
          <w:lang w:eastAsia="en-US"/>
        </w:rPr>
        <w:t>ледипасвиром</w:t>
      </w:r>
      <w:proofErr w:type="spellEnd"/>
      <w:r w:rsidRPr="00CD2168">
        <w:rPr>
          <w:rFonts w:eastAsia="Calibri"/>
          <w:bCs/>
          <w:szCs w:val="24"/>
          <w:lang w:eastAsia="en-US"/>
        </w:rPr>
        <w:t>/</w:t>
      </w:r>
      <w:proofErr w:type="spellStart"/>
      <w:r w:rsidRPr="00CD2168">
        <w:rPr>
          <w:rFonts w:eastAsia="Calibri"/>
          <w:bCs/>
          <w:szCs w:val="24"/>
          <w:lang w:eastAsia="en-US"/>
        </w:rPr>
        <w:t>софосбувиром</w:t>
      </w:r>
      <w:proofErr w:type="spellEnd"/>
      <w:r w:rsidRPr="00CD2168">
        <w:rPr>
          <w:rFonts w:eastAsia="Calibri"/>
          <w:bCs/>
          <w:szCs w:val="24"/>
          <w:lang w:eastAsia="en-US"/>
        </w:rPr>
        <w:t>.  Неодновременное (с интервалом 12 часов) введение дало сходные результаты.</w:t>
      </w:r>
    </w:p>
    <w:p w14:paraId="52069352" w14:textId="77777777" w:rsidR="00835A72" w:rsidRPr="00CD2168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CD2168">
        <w:rPr>
          <w:rFonts w:eastAsia="Calibri"/>
          <w:bCs/>
          <w:szCs w:val="24"/>
          <w:vertAlign w:val="superscript"/>
          <w:lang w:eastAsia="en-US"/>
        </w:rPr>
        <w:t>2</w:t>
      </w:r>
      <w:r w:rsidRPr="00CD2168">
        <w:rPr>
          <w:rFonts w:eastAsia="Calibri"/>
          <w:bCs/>
          <w:szCs w:val="24"/>
          <w:lang w:eastAsia="en-US"/>
        </w:rPr>
        <w:t xml:space="preserve"> Основной циркулирующий метаболит </w:t>
      </w:r>
      <w:proofErr w:type="spellStart"/>
      <w:r w:rsidRPr="00CD2168">
        <w:rPr>
          <w:rFonts w:eastAsia="Calibri"/>
          <w:bCs/>
          <w:szCs w:val="24"/>
          <w:lang w:eastAsia="en-US"/>
        </w:rPr>
        <w:t>софосбувира</w:t>
      </w:r>
      <w:proofErr w:type="spellEnd"/>
      <w:r w:rsidRPr="00CD2168">
        <w:rPr>
          <w:rFonts w:eastAsia="Calibri"/>
          <w:bCs/>
          <w:szCs w:val="24"/>
          <w:lang w:eastAsia="en-US"/>
        </w:rPr>
        <w:t>.</w:t>
      </w:r>
    </w:p>
    <w:p w14:paraId="614E9784" w14:textId="77777777" w:rsidR="00835A72" w:rsidRPr="00CD2168" w:rsidRDefault="00835A72" w:rsidP="00835A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CD2168">
        <w:rPr>
          <w:rFonts w:eastAsia="Calibri"/>
          <w:bCs/>
          <w:szCs w:val="24"/>
          <w:vertAlign w:val="superscript"/>
          <w:lang w:eastAsia="en-US"/>
        </w:rPr>
        <w:t xml:space="preserve">3 </w:t>
      </w:r>
      <w:r w:rsidRPr="00CD2168">
        <w:rPr>
          <w:rFonts w:eastAsia="Calibri"/>
          <w:bCs/>
          <w:szCs w:val="24"/>
          <w:lang w:eastAsia="en-US"/>
        </w:rPr>
        <w:t xml:space="preserve">Исследование проводилось с добавлением </w:t>
      </w:r>
      <w:proofErr w:type="spellStart"/>
      <w:r w:rsidRPr="00CD2168">
        <w:rPr>
          <w:rFonts w:eastAsia="Calibri"/>
          <w:bCs/>
          <w:szCs w:val="24"/>
          <w:lang w:eastAsia="en-US"/>
        </w:rPr>
        <w:t>воксилапревира</w:t>
      </w:r>
      <w:proofErr w:type="spellEnd"/>
      <w:r w:rsidRPr="00CD2168">
        <w:rPr>
          <w:rFonts w:eastAsia="Calibri"/>
          <w:bCs/>
          <w:szCs w:val="24"/>
          <w:lang w:eastAsia="en-US"/>
        </w:rPr>
        <w:t xml:space="preserve"> 100 мг для достижения ожидаемых воздействий </w:t>
      </w:r>
      <w:proofErr w:type="spellStart"/>
      <w:r w:rsidRPr="00CD2168">
        <w:rPr>
          <w:rFonts w:eastAsia="Calibri"/>
          <w:bCs/>
          <w:szCs w:val="24"/>
          <w:lang w:eastAsia="en-US"/>
        </w:rPr>
        <w:t>воксилапревира</w:t>
      </w:r>
      <w:proofErr w:type="spellEnd"/>
      <w:r w:rsidRPr="00CD2168">
        <w:rPr>
          <w:rFonts w:eastAsia="Calibri"/>
          <w:bCs/>
          <w:szCs w:val="24"/>
          <w:lang w:eastAsia="en-US"/>
        </w:rPr>
        <w:t xml:space="preserve"> у пациентов с ВГС-инфекцией.</w:t>
      </w:r>
    </w:p>
    <w:p w14:paraId="1F177DEB" w14:textId="77777777" w:rsidR="00F037A7" w:rsidRPr="00F037A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Специальные предупреждения</w:t>
      </w:r>
    </w:p>
    <w:p w14:paraId="6346677A" w14:textId="77777777" w:rsidR="000F1B0C" w:rsidRPr="00605DD4" w:rsidRDefault="000F1B0C" w:rsidP="000F1B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605DD4">
        <w:rPr>
          <w:bCs/>
          <w:color w:val="000000"/>
          <w:spacing w:val="-3"/>
          <w:sz w:val="28"/>
          <w:szCs w:val="28"/>
        </w:rPr>
        <w:t xml:space="preserve">До начала лечения ВИЧ-1 инфекции препаратом </w:t>
      </w:r>
      <w:proofErr w:type="spellStart"/>
      <w:r w:rsidRPr="00605DD4">
        <w:rPr>
          <w:bCs/>
          <w:color w:val="000000"/>
          <w:spacing w:val="-3"/>
          <w:sz w:val="28"/>
          <w:szCs w:val="28"/>
        </w:rPr>
        <w:t>Эмтрицитабин</w:t>
      </w:r>
      <w:proofErr w:type="spellEnd"/>
      <w:r w:rsidRPr="00605DD4">
        <w:rPr>
          <w:bCs/>
          <w:color w:val="000000"/>
          <w:spacing w:val="-3"/>
          <w:sz w:val="28"/>
          <w:szCs w:val="28"/>
        </w:rPr>
        <w:t xml:space="preserve"> и </w:t>
      </w:r>
      <w:proofErr w:type="spellStart"/>
      <w:r w:rsidRPr="00605DD4">
        <w:rPr>
          <w:bCs/>
          <w:color w:val="000000"/>
          <w:spacing w:val="-3"/>
          <w:sz w:val="28"/>
          <w:szCs w:val="28"/>
        </w:rPr>
        <w:t>тенофовира</w:t>
      </w:r>
      <w:proofErr w:type="spellEnd"/>
      <w:r w:rsidRPr="00605DD4"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605DD4">
        <w:rPr>
          <w:bCs/>
          <w:color w:val="000000"/>
          <w:spacing w:val="-3"/>
          <w:sz w:val="28"/>
          <w:szCs w:val="28"/>
        </w:rPr>
        <w:t>дизопроксила</w:t>
      </w:r>
      <w:proofErr w:type="spellEnd"/>
      <w:r w:rsidRPr="00605DD4"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605DD4">
        <w:rPr>
          <w:bCs/>
          <w:color w:val="000000"/>
          <w:spacing w:val="-3"/>
          <w:sz w:val="28"/>
          <w:szCs w:val="28"/>
        </w:rPr>
        <w:t>фумарат</w:t>
      </w:r>
      <w:proofErr w:type="spellEnd"/>
      <w:r w:rsidRPr="00605DD4">
        <w:rPr>
          <w:bCs/>
          <w:color w:val="000000"/>
          <w:spacing w:val="-3"/>
          <w:sz w:val="28"/>
          <w:szCs w:val="28"/>
        </w:rPr>
        <w:t xml:space="preserve"> рекомендуется проведение расчета клиренса креатинина у всех пациентов.</w:t>
      </w:r>
    </w:p>
    <w:p w14:paraId="1EFC9B9F" w14:textId="77777777" w:rsidR="000F1B0C" w:rsidRPr="000F1B0C" w:rsidRDefault="000F1B0C" w:rsidP="000F1B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605DD4">
        <w:rPr>
          <w:bCs/>
          <w:color w:val="000000"/>
          <w:spacing w:val="-3"/>
          <w:sz w:val="28"/>
          <w:szCs w:val="28"/>
        </w:rPr>
        <w:t>Рекомендуется частое наблюдение за функцией почек при применении</w:t>
      </w:r>
      <w:r>
        <w:rPr>
          <w:bCs/>
          <w:color w:val="000000"/>
          <w:spacing w:val="-3"/>
          <w:sz w:val="28"/>
          <w:szCs w:val="28"/>
        </w:rPr>
        <w:t xml:space="preserve"> препарата </w:t>
      </w:r>
      <w:proofErr w:type="spellStart"/>
      <w:r>
        <w:rPr>
          <w:bCs/>
          <w:color w:val="000000"/>
          <w:spacing w:val="-3"/>
          <w:sz w:val="28"/>
          <w:szCs w:val="28"/>
        </w:rPr>
        <w:t>Эмтрицитабин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и </w:t>
      </w:r>
      <w:proofErr w:type="spellStart"/>
      <w:r>
        <w:rPr>
          <w:bCs/>
          <w:color w:val="000000"/>
          <w:spacing w:val="-3"/>
          <w:sz w:val="28"/>
          <w:szCs w:val="28"/>
        </w:rPr>
        <w:t>тенофовира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дизопроксила</w:t>
      </w:r>
      <w:proofErr w:type="spellEnd"/>
      <w:r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bCs/>
          <w:color w:val="000000"/>
          <w:spacing w:val="-3"/>
          <w:sz w:val="28"/>
          <w:szCs w:val="28"/>
        </w:rPr>
        <w:t>фумарат</w:t>
      </w:r>
      <w:proofErr w:type="spellEnd"/>
      <w:r w:rsidRPr="00605DD4">
        <w:rPr>
          <w:bCs/>
          <w:color w:val="000000"/>
          <w:spacing w:val="-3"/>
          <w:sz w:val="28"/>
          <w:szCs w:val="28"/>
        </w:rPr>
        <w:t>.</w:t>
      </w:r>
    </w:p>
    <w:p w14:paraId="5BEAF69B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Передача ВИЧ</w:t>
      </w:r>
    </w:p>
    <w:p w14:paraId="60037BF6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>Несмотря на установленный факт, что эффективное подавление вируса антиретровирусной терапией значительно снижает риск передачи вируса половым путем, остаточный риск исключить невозможно. Следует принимать меры профилактики передачи вируса в соответствии с национальными рекомендациями.</w:t>
      </w:r>
    </w:p>
    <w:p w14:paraId="00B77C8A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 xml:space="preserve">Пациенты с мутациями резистентности ВИЧ-1 </w:t>
      </w:r>
    </w:p>
    <w:p w14:paraId="1A316A64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r w:rsidRPr="006D125B">
        <w:rPr>
          <w:rFonts w:eastAsia="Calibri"/>
          <w:sz w:val="28"/>
          <w:szCs w:val="28"/>
          <w:lang w:eastAsia="en-US" w:bidi="ar-IQ"/>
        </w:rPr>
        <w:t>не должен назначаться пациентам с ВИЧ-1-инфекцией</w:t>
      </w:r>
      <w:r w:rsidR="006D125B">
        <w:rPr>
          <w:rFonts w:eastAsia="Calibri"/>
          <w:sz w:val="28"/>
          <w:szCs w:val="28"/>
          <w:lang w:eastAsia="en-US" w:bidi="ar-IQ"/>
        </w:rPr>
        <w:t>, имеющим мутацию в кодоне K65R</w:t>
      </w:r>
      <w:r w:rsidRPr="006D125B">
        <w:rPr>
          <w:rFonts w:eastAsia="Calibri"/>
          <w:sz w:val="28"/>
          <w:szCs w:val="28"/>
          <w:lang w:eastAsia="en-US" w:bidi="ar-IQ"/>
        </w:rPr>
        <w:t>.</w:t>
      </w:r>
    </w:p>
    <w:p w14:paraId="74CB30E7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i/>
          <w:iCs/>
          <w:sz w:val="28"/>
          <w:szCs w:val="28"/>
          <w:lang w:eastAsia="en-US" w:bidi="ar-IQ"/>
        </w:rPr>
        <w:t>Общая стратегия профилактики ВИЧ-инфекции</w:t>
      </w:r>
    </w:p>
    <w:p w14:paraId="32200A90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 всегда эффективен для профилактики заражения ВИЧ-1. Длительность периода до начала защитного действия после приема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неизвестна.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следует использовать для ДКП как часть общей стратегии профилактики ВИЧ-1-инфекции, включающей применение других мер профилактики (например, постоянное и правильное использование презервативов, осведомленность о ВИЧ-статусе, регулярное тестирование на другие инфекции, передаваемые половым путем).</w:t>
      </w:r>
    </w:p>
    <w:p w14:paraId="1242031E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i/>
          <w:iCs/>
          <w:sz w:val="28"/>
          <w:szCs w:val="28"/>
          <w:lang w:eastAsia="en-US" w:bidi="ar-IQ"/>
        </w:rPr>
        <w:t>Риск развития резистентности при наличии скрытой ВИЧ-1-инфекции.</w:t>
      </w:r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</w:p>
    <w:p w14:paraId="097E5059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следует применять лишь для снижения риска заражения ВИЧ-1 у лиц с подтвержденным отрицательным диагнозом на ВИЧ. При приеме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 целью </w:t>
      </w:r>
      <w:r w:rsidRPr="006D125B">
        <w:rPr>
          <w:rFonts w:eastAsia="Calibri"/>
          <w:sz w:val="28"/>
          <w:szCs w:val="28"/>
          <w:lang w:eastAsia="en-US" w:bidi="ar-IQ"/>
        </w:rPr>
        <w:lastRenderedPageBreak/>
        <w:t xml:space="preserve">ДКП необходимо регулярное (минимум каждые 3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мес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>) подтверждение ВИЧ-1-отрицательного статуса с помощью комбинированного теста «антиген/антитело».</w:t>
      </w:r>
    </w:p>
    <w:p w14:paraId="4DDD0D8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Монотерапия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препаратом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 является полноценным лечением ВИЧ-1, и мутации резистентности вируса возникали у пациентов со скрытой ВИЧ-1-инфекцией, принимавших только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. При наличии клинических симптомов острой вирусной инфекции и подозрений на недавние (&lt;1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мес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) экспозиции ВИЧ-1 применение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необходимо отложить минимум на 1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мес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подтвердить ВИЧ-1-статус перед началом приема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 целью ДКП.</w:t>
      </w:r>
    </w:p>
    <w:p w14:paraId="345C811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i/>
          <w:iCs/>
          <w:sz w:val="28"/>
          <w:szCs w:val="28"/>
          <w:lang w:eastAsia="en-US" w:bidi="ar-IQ"/>
        </w:rPr>
        <w:t>Важность соблюдения предписанного режима терапии.</w:t>
      </w:r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</w:p>
    <w:p w14:paraId="5BD0CD5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Измерение уровня содержания препарата в крови показало, что эффективность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снижении риска заражения ВИЧ-1 строго коррелирует с соблюдением указанной схемы. ВИЧ-неинфицированным людям следует строго придерживаться рекомендованной схемы приема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>.</w:t>
      </w:r>
    </w:p>
    <w:p w14:paraId="74621363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Пациенты, инфицированные вирусом гепатита В или С</w:t>
      </w:r>
    </w:p>
    <w:p w14:paraId="718EB12D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ВИЧ-1 инфицированные пациенты с хроническим гепатитом В или С, получающие антиретровирусную терапию, имеют повышенный риск тяжелых и потенциально смертельных нежелательных реакций со стороны печени. Врачам следует обратиться к текущим рекомендациям по лечению ВИЧ касательно оптимального лечения ВИЧ-инфекции у пациентов с сопутствующей инфекцией вирусом гепатита B (ВГВ) или С (ВГС). </w:t>
      </w:r>
    </w:p>
    <w:p w14:paraId="0A300110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Безопасность и эффективность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при ДКП у пациентов с инфекцией ВГВ или ВГС не установлена.</w:t>
      </w:r>
    </w:p>
    <w:p w14:paraId="6EA58413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При сопутствующей противовирусной терапии гепатита В или С следует обратиться к соответствующим инструкциям по медицинскому применению. См. также в подразделе </w:t>
      </w:r>
      <w:r w:rsidRPr="006D125B">
        <w:rPr>
          <w:rFonts w:eastAsia="Calibri"/>
          <w:i/>
          <w:iCs/>
          <w:sz w:val="28"/>
          <w:szCs w:val="28"/>
          <w:lang w:eastAsia="en-US" w:bidi="ar-IQ"/>
        </w:rPr>
        <w:t xml:space="preserve">Совместное применение с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 w:bidi="ar-IQ"/>
        </w:rPr>
        <w:t>ледипасвиром</w:t>
      </w:r>
      <w:proofErr w:type="spellEnd"/>
      <w:r w:rsidRPr="006D125B">
        <w:rPr>
          <w:rFonts w:eastAsia="Calibri"/>
          <w:i/>
          <w:iCs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 w:bidi="ar-IQ"/>
        </w:rPr>
        <w:t>софосбувиром</w:t>
      </w:r>
      <w:proofErr w:type="spellEnd"/>
      <w:r w:rsidRPr="006D125B">
        <w:rPr>
          <w:rFonts w:eastAsia="Calibri"/>
          <w:i/>
          <w:iCs/>
          <w:sz w:val="28"/>
          <w:szCs w:val="28"/>
          <w:lang w:eastAsia="en-US" w:bidi="ar-IQ"/>
        </w:rPr>
        <w:t xml:space="preserve"> или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 w:bidi="ar-IQ"/>
        </w:rPr>
        <w:t>софосбувиром</w:t>
      </w:r>
      <w:proofErr w:type="spellEnd"/>
      <w:r w:rsidRPr="006D125B">
        <w:rPr>
          <w:rFonts w:eastAsia="Calibri"/>
          <w:i/>
          <w:iCs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 w:bidi="ar-IQ"/>
        </w:rPr>
        <w:t>велпатасвиром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ниже.</w:t>
      </w:r>
    </w:p>
    <w:p w14:paraId="5EC8AEC2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(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) показан для лечения ВГВ, 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продемонстрировал противовирусную активность в отношении ВГВ, однако эффективность и безопасность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конкретно у пациентов с хроническим гепатитом В не изучали.</w:t>
      </w:r>
    </w:p>
    <w:p w14:paraId="53E52B02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Отмена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у пациентов, инфицированных ВГВ может вызвать тяжелое обострение гепатита. За пациентами, инфицированными вирусом гепатита В, должно вестись тщательное наблюдение, как клиническое, так и лабораторное, по меньшей мере, в течение нескольких месяцев после прекращения терапии </w:t>
      </w:r>
      <w:r w:rsidRPr="006D125B">
        <w:rPr>
          <w:rFonts w:eastAsia="Calibri"/>
          <w:sz w:val="28"/>
          <w:szCs w:val="28"/>
          <w:lang w:eastAsia="en-US" w:bidi="ar-IQ"/>
        </w:rPr>
        <w:lastRenderedPageBreak/>
        <w:t xml:space="preserve">препаратом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>. В ряде случаев может потребоваться возобновление терапии гепатита В. У пациентов с тяжелыми заболеваниями печени или циррозом не рекомендуется отменять лечение, поскольку возникающее после отмены лечения обострение гепатита может привести к декомпенсации функции печени.</w:t>
      </w:r>
    </w:p>
    <w:p w14:paraId="19AFC019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Заболевания печени</w:t>
      </w:r>
    </w:p>
    <w:p w14:paraId="066946CB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Безопасность и эффективность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 были установлены для пациентов со значительными нарушениями функции печени, которые существовали до начала лечения. Фармакокинетика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изучена у пациентов с нарушениями функции печени, и для этих пациентов нет необходимости в коррекции дозы. Фармакокинетика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у больных с нарушением функции печени не изучена. Исходя из минимального печеночного метаболизма и почечного пути выведения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, маловероятно, чтобы пациентам с нарушением функции печени была необходима коррекция дозы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>.</w:t>
      </w:r>
    </w:p>
    <w:p w14:paraId="0FCD86B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>ВИЧ-1 инфицированные пациенты, у которых раньше были нарушения функции печени, включая хронический активный гепатит, имеют повышенную частоту нарушений функции печени во время комбинированной антиретровирусной терапии, и за ними следует наблюдать в соответствии со стандартной практикой. Если у таких пациентов возникнут признаки ухудшения течения болезни печени, то следует рассмотреть необходимость перерыва в лечении или его отмены.</w:t>
      </w:r>
    </w:p>
    <w:p w14:paraId="5AB580A1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u w:val="single"/>
          <w:lang w:eastAsia="en-US" w:bidi="ar-IQ"/>
        </w:rPr>
      </w:pPr>
      <w:r w:rsidRPr="006D125B">
        <w:rPr>
          <w:rFonts w:eastAsia="Calibri"/>
          <w:sz w:val="28"/>
          <w:szCs w:val="28"/>
          <w:u w:val="single"/>
          <w:lang w:eastAsia="en-US" w:bidi="ar-IQ"/>
        </w:rPr>
        <w:t>Влияние на почки и кости у взрослых</w:t>
      </w:r>
    </w:p>
    <w:p w14:paraId="00148725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Влияние на почки</w:t>
      </w:r>
    </w:p>
    <w:p w14:paraId="2E914413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главным образом выводятся через почки путем сочетания клубочковой фильтрации и активной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канальцевой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секреции. Поступали сообщения о почечной недостаточности, нарушениях функции почек, повышенном уровне креатинина,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гипофосфатемии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проксимальной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тубулопатии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(включая синдром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Фанкони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) при применении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>.</w:t>
      </w:r>
    </w:p>
    <w:p w14:paraId="15ED5822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Наблюдение за функцией почек</w:t>
      </w:r>
    </w:p>
    <w:p w14:paraId="4D5ADF8D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До начала лечения ВИЧ-1 инфекции препаратом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рекомендуется проведение расчета клиренса креатинина у всех пациентов.</w:t>
      </w:r>
    </w:p>
    <w:p w14:paraId="323EFDD7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У пациентов без факторов риска поражения почек рекомендуется исследовать функцию почек (клиренс креатинина и уровень фосфата в сыворотке) после 2–4 недель лечения, после 3 месяцев лечения, а затем каждые 3–6 месяцев. </w:t>
      </w:r>
    </w:p>
    <w:p w14:paraId="359CDDE0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>Пациентам с риском нарушения функции почек необходимо более частое наблюдение за функцией почек.</w:t>
      </w:r>
    </w:p>
    <w:p w14:paraId="5DF899C3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lastRenderedPageBreak/>
        <w:t>См. также ниже раздел о сочетанном применении других лекарственных препаратов.</w:t>
      </w:r>
    </w:p>
    <w:p w14:paraId="252FC14E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r w:rsidRPr="006D125B">
        <w:rPr>
          <w:rFonts w:eastAsia="Calibri"/>
          <w:i/>
          <w:sz w:val="28"/>
          <w:szCs w:val="28"/>
          <w:lang w:eastAsia="en-US"/>
        </w:rPr>
        <w:t>Коррекция почечных нарушений у ВИЧ-1 инфицированных пациентов</w:t>
      </w:r>
    </w:p>
    <w:p w14:paraId="3417A3A8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Если у любого пациента, получающего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>, уровень фосфата в сыворотке крови ниже 1,5 мг/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дл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(0,48 ммоль/л) или клиренс креатинина ниже 50 мл/мин, необходимо в течение 1 недели провести повторную оценку функции почек, включая определение уровня глюкозы в крови, калия в крови и концентрации глюкозы в моче. Следует рассмотреть целесообразность перерыва в лечении препаратом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при клиренсе креатинина ниже 50 мл/мин или уровне фосфата в сыворотке крови ниже 1,0 мг/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дл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(0,32 ммоль/л). Перерыв в лечении препаратом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также рекомендуется в случае прогрессирующего снижения функции почек, если не удается обнаружить другую причину этого состояния.</w:t>
      </w:r>
    </w:p>
    <w:p w14:paraId="09EE211A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Безопасность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отношении функции почек очень ограниченно исследована у ВИЧ-1 инфицированных пациентов с нарушением функции почек (клиренс креатинина ниже 80 мл/мин). Для ВИЧ-1 инфицированных пациентов с клиренсом креатинина 30–49 мл/мин рекомендуется коррекция интервала дозирования. </w:t>
      </w:r>
      <w:r w:rsidR="009700C3">
        <w:rPr>
          <w:rFonts w:eastAsia="Calibri"/>
          <w:sz w:val="28"/>
          <w:szCs w:val="28"/>
          <w:lang w:eastAsia="en-US" w:bidi="ar-IQ"/>
        </w:rPr>
        <w:t>У</w:t>
      </w:r>
      <w:r w:rsidRPr="006D125B">
        <w:rPr>
          <w:rFonts w:eastAsia="Calibri"/>
          <w:sz w:val="28"/>
          <w:szCs w:val="28"/>
          <w:lang w:eastAsia="en-US" w:bidi="ar-IQ"/>
        </w:rPr>
        <w:t xml:space="preserve">длиненные интервалы дозирования не являются оптимальными, могут приводить к повышенной токсичности и, возможно, недостаточному ответу. </w:t>
      </w:r>
      <w:r w:rsidR="009700C3">
        <w:rPr>
          <w:rFonts w:eastAsia="Calibri"/>
          <w:sz w:val="28"/>
          <w:szCs w:val="28"/>
          <w:lang w:eastAsia="en-US" w:bidi="ar-IQ"/>
        </w:rPr>
        <w:t>У пациентов</w:t>
      </w:r>
      <w:r w:rsidRPr="006D125B">
        <w:rPr>
          <w:rFonts w:eastAsia="Calibri"/>
          <w:sz w:val="28"/>
          <w:szCs w:val="28"/>
          <w:lang w:eastAsia="en-US" w:bidi="ar-IQ"/>
        </w:rPr>
        <w:t xml:space="preserve"> с клиренсом креатинина 50–60 мл/мин, которые получали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комбинации с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каждые 24 часа, отмечено повышение экспозиции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2–4 раза и ухудшение функции почек. Поэтому при применении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пациентами с клиренсом креатинина ниже 60 мл/мин нужны тщательная оценка соотношения пользы/риска и тщательное наблюдение за функцией почек. Кроме этого, следует тщательно наблюдать за клиническим ответом на лечение у пациентов, которые получают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 удлинёнными интервалами между приёмами. Применение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 рекомендуется пациентам с тяжелыми почечными нарушениями (клиренс креатинина </w:t>
      </w:r>
      <w:proofErr w:type="gramStart"/>
      <w:r w:rsidRPr="006D125B">
        <w:rPr>
          <w:rFonts w:eastAsia="Calibri"/>
          <w:sz w:val="28"/>
          <w:szCs w:val="28"/>
          <w:lang w:eastAsia="en-US" w:bidi="ar-IQ"/>
        </w:rPr>
        <w:t>&lt; 30</w:t>
      </w:r>
      <w:proofErr w:type="gramEnd"/>
      <w:r w:rsidRPr="006D125B">
        <w:rPr>
          <w:rFonts w:eastAsia="Calibri"/>
          <w:sz w:val="28"/>
          <w:szCs w:val="28"/>
          <w:lang w:eastAsia="en-US" w:bidi="ar-IQ"/>
        </w:rPr>
        <w:t xml:space="preserve"> мл/мин) и пациентам, нуждающимся в гемодиализе, поскольку комбинированная таблетка не позволяет достичь необходимого уменьшения дозы.</w:t>
      </w:r>
    </w:p>
    <w:p w14:paraId="0F789759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i/>
          <w:iCs/>
          <w:sz w:val="28"/>
          <w:szCs w:val="28"/>
          <w:lang w:eastAsia="en-US" w:bidi="ar-IQ"/>
        </w:rPr>
        <w:t>Оценка функции почек при ДКП</w:t>
      </w:r>
      <w:r w:rsidRPr="006D125B">
        <w:rPr>
          <w:rFonts w:eastAsia="Calibri"/>
          <w:sz w:val="28"/>
          <w:szCs w:val="28"/>
          <w:lang w:eastAsia="en-US" w:bidi="ar-IQ"/>
        </w:rPr>
        <w:t xml:space="preserve">. </w:t>
      </w:r>
    </w:p>
    <w:p w14:paraId="2052EDF4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Исследования применения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у ВИЧ-неинфицированных лиц с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Cl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креатинина &lt;60 мл/мин не проводились, поэтому прием препарата в данной популяции не рекомендован. Если уровень фосфата в плазме составляет &lt;1,5 мг/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дл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(0,48 ммоль/л) или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Cl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креатинина у любого пациента, принимающего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качестве ДКП, </w:t>
      </w:r>
      <w:r w:rsidRPr="006D125B">
        <w:rPr>
          <w:rFonts w:eastAsia="Calibri"/>
          <w:sz w:val="28"/>
          <w:szCs w:val="28"/>
          <w:lang w:eastAsia="en-US" w:bidi="ar-IQ"/>
        </w:rPr>
        <w:lastRenderedPageBreak/>
        <w:t xml:space="preserve">снижен до &lt;60 мл/мин, следует в течение недели повторно оценить функцию почек, включая измерения уровня глюкозы и калия в крови и концентрации глюкозы в моче. Следует обсудить вопрос о прерывании приема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у пациентов со сниженным до &lt;60 мл/мин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Cl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креатинина или повышенном до &lt;1 мг/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дл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(0,32 ммоль/л) уровнем фосфата в сыворотке. Кроме того, следует рассмотреть прерывание приема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в случае прогрессирующего ухудшения функции почек, если никаких других причин не обнаружено.</w:t>
      </w:r>
    </w:p>
    <w:p w14:paraId="287F5B18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Влияние на кости</w:t>
      </w:r>
    </w:p>
    <w:p w14:paraId="38D67D10" w14:textId="77777777" w:rsidR="00997831" w:rsidRPr="00997831" w:rsidRDefault="00997831" w:rsidP="00997831">
      <w:pPr>
        <w:jc w:val="both"/>
        <w:rPr>
          <w:rFonts w:eastAsia="Calibri"/>
          <w:sz w:val="28"/>
          <w:szCs w:val="28"/>
          <w:lang w:eastAsia="en-US" w:bidi="ar-IQ"/>
        </w:rPr>
      </w:pPr>
      <w:r w:rsidRPr="00997831">
        <w:rPr>
          <w:rFonts w:eastAsia="Calibri"/>
          <w:sz w:val="28"/>
          <w:szCs w:val="28"/>
          <w:lang w:eastAsia="en-US" w:bidi="ar-IQ"/>
        </w:rPr>
        <w:t xml:space="preserve">Костные нарушения, такие как остеомаляция, которая может проявляться в виде постоянной или усиливающейся боли в костях и которая в редких случаях может приводить к переломам, могут быть связаны с </w:t>
      </w:r>
      <w:proofErr w:type="spellStart"/>
      <w:r w:rsidRPr="00997831">
        <w:rPr>
          <w:rFonts w:eastAsia="Calibri"/>
          <w:sz w:val="28"/>
          <w:szCs w:val="28"/>
          <w:lang w:eastAsia="en-US" w:bidi="ar-IQ"/>
        </w:rPr>
        <w:t>тенофовир</w:t>
      </w:r>
      <w:proofErr w:type="spellEnd"/>
      <w:r w:rsidRPr="00997831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997831">
        <w:rPr>
          <w:rFonts w:eastAsia="Calibri"/>
          <w:sz w:val="28"/>
          <w:szCs w:val="28"/>
          <w:lang w:eastAsia="en-US" w:bidi="ar-IQ"/>
        </w:rPr>
        <w:t>дизопроксилом</w:t>
      </w:r>
      <w:proofErr w:type="spellEnd"/>
      <w:r w:rsidRPr="00997831">
        <w:rPr>
          <w:rFonts w:eastAsia="Calibri"/>
          <w:sz w:val="28"/>
          <w:szCs w:val="28"/>
          <w:lang w:eastAsia="en-US" w:bidi="ar-IQ"/>
        </w:rPr>
        <w:t xml:space="preserve">-индуцированной проксимальной почечной </w:t>
      </w:r>
      <w:proofErr w:type="spellStart"/>
      <w:r w:rsidRPr="00997831">
        <w:rPr>
          <w:rFonts w:eastAsia="Calibri"/>
          <w:sz w:val="28"/>
          <w:szCs w:val="28"/>
          <w:lang w:eastAsia="en-US" w:bidi="ar-IQ"/>
        </w:rPr>
        <w:t>тубулопатией</w:t>
      </w:r>
      <w:proofErr w:type="spellEnd"/>
      <w:r>
        <w:rPr>
          <w:rFonts w:eastAsia="Calibri"/>
          <w:sz w:val="28"/>
          <w:szCs w:val="28"/>
          <w:lang w:eastAsia="en-US" w:bidi="ar-IQ"/>
        </w:rPr>
        <w:t>.</w:t>
      </w:r>
      <w:r w:rsidRPr="00997831">
        <w:rPr>
          <w:rFonts w:eastAsia="Calibri"/>
          <w:sz w:val="28"/>
          <w:szCs w:val="28"/>
          <w:lang w:eastAsia="en-US" w:bidi="ar-IQ"/>
        </w:rPr>
        <w:t xml:space="preserve"> </w:t>
      </w:r>
    </w:p>
    <w:p w14:paraId="1788A462" w14:textId="77777777" w:rsidR="00997831" w:rsidRPr="00997831" w:rsidRDefault="00997831" w:rsidP="00997831">
      <w:pPr>
        <w:jc w:val="both"/>
        <w:rPr>
          <w:rFonts w:eastAsia="Calibri"/>
          <w:sz w:val="28"/>
          <w:szCs w:val="28"/>
          <w:lang w:eastAsia="en-US" w:bidi="ar-IQ"/>
        </w:rPr>
      </w:pPr>
      <w:proofErr w:type="spellStart"/>
      <w:r w:rsidRPr="00997831">
        <w:rPr>
          <w:rFonts w:eastAsia="Calibri"/>
          <w:sz w:val="28"/>
          <w:szCs w:val="28"/>
          <w:lang w:eastAsia="en-US" w:bidi="ar-IQ"/>
        </w:rPr>
        <w:t>Тенофовир</w:t>
      </w:r>
      <w:proofErr w:type="spellEnd"/>
      <w:r w:rsidRPr="00997831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997831">
        <w:rPr>
          <w:rFonts w:eastAsia="Calibri"/>
          <w:sz w:val="28"/>
          <w:szCs w:val="28"/>
          <w:lang w:eastAsia="en-US" w:bidi="ar-IQ"/>
        </w:rPr>
        <w:t>дизопроксил</w:t>
      </w:r>
      <w:proofErr w:type="spellEnd"/>
      <w:r w:rsidRPr="00997831">
        <w:rPr>
          <w:rFonts w:eastAsia="Calibri"/>
          <w:sz w:val="28"/>
          <w:szCs w:val="28"/>
          <w:lang w:eastAsia="en-US" w:bidi="ar-IQ"/>
        </w:rPr>
        <w:t xml:space="preserve"> также может вызывать снижение минеральной плотности костной ткани (МПКТ).</w:t>
      </w:r>
    </w:p>
    <w:p w14:paraId="701707B5" w14:textId="77777777" w:rsidR="00997831" w:rsidRDefault="00997831" w:rsidP="00997831">
      <w:pPr>
        <w:jc w:val="both"/>
        <w:rPr>
          <w:rFonts w:eastAsia="Calibri"/>
          <w:sz w:val="28"/>
          <w:szCs w:val="28"/>
          <w:lang w:eastAsia="en-US" w:bidi="ar-IQ"/>
        </w:rPr>
      </w:pPr>
      <w:r w:rsidRPr="00997831">
        <w:rPr>
          <w:rFonts w:eastAsia="Calibri"/>
          <w:sz w:val="28"/>
          <w:szCs w:val="28"/>
          <w:lang w:eastAsia="en-US" w:bidi="ar-IQ"/>
        </w:rPr>
        <w:t>При подозрении или обнаружении костных нарушений следует обратиться за консультацией.</w:t>
      </w:r>
    </w:p>
    <w:p w14:paraId="3E8FAF3A" w14:textId="77777777" w:rsidR="00F03378" w:rsidRPr="006D125B" w:rsidRDefault="00F03378" w:rsidP="00997831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 xml:space="preserve">Лечение ВИЧ-1-инфекции </w:t>
      </w:r>
    </w:p>
    <w:p w14:paraId="2942234E" w14:textId="77777777" w:rsidR="00417089" w:rsidRDefault="00417089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>
        <w:rPr>
          <w:rFonts w:eastAsia="Calibri"/>
          <w:sz w:val="28"/>
          <w:szCs w:val="28"/>
          <w:lang w:eastAsia="en-US" w:bidi="ar-IQ"/>
        </w:rPr>
        <w:t>У</w:t>
      </w:r>
      <w:r w:rsidRPr="006D125B">
        <w:rPr>
          <w:rFonts w:eastAsia="Calibri"/>
          <w:sz w:val="28"/>
          <w:szCs w:val="28"/>
          <w:lang w:eastAsia="en-US" w:bidi="ar-IQ"/>
        </w:rPr>
        <w:t xml:space="preserve"> пациентов, которые раньше не получали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антриретровирусного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лечения</w:t>
      </w:r>
      <w:r>
        <w:rPr>
          <w:rFonts w:eastAsia="Calibri"/>
          <w:sz w:val="28"/>
          <w:szCs w:val="28"/>
          <w:lang w:eastAsia="en-US" w:bidi="ar-IQ"/>
        </w:rPr>
        <w:t xml:space="preserve">, при приеме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>
        <w:rPr>
          <w:rFonts w:eastAsia="Calibri"/>
          <w:sz w:val="28"/>
          <w:szCs w:val="28"/>
          <w:lang w:eastAsia="en-US" w:bidi="ar-IQ"/>
        </w:rPr>
        <w:t xml:space="preserve"> </w:t>
      </w:r>
      <w:r w:rsidRPr="006D125B">
        <w:rPr>
          <w:rFonts w:eastAsia="Calibri"/>
          <w:sz w:val="28"/>
          <w:szCs w:val="28"/>
          <w:lang w:eastAsia="en-US" w:bidi="ar-IQ"/>
        </w:rPr>
        <w:t>наблюдалось незначительное снижение минеральной плотности костей (МПК) бедра и позвоночника.</w:t>
      </w:r>
      <w:r>
        <w:rPr>
          <w:rFonts w:eastAsia="Calibri"/>
          <w:sz w:val="28"/>
          <w:szCs w:val="28"/>
          <w:lang w:eastAsia="en-US" w:bidi="ar-IQ"/>
        </w:rPr>
        <w:t xml:space="preserve"> </w:t>
      </w:r>
      <w:r w:rsidRPr="006D125B">
        <w:rPr>
          <w:rFonts w:eastAsia="Calibri"/>
          <w:sz w:val="28"/>
          <w:szCs w:val="28"/>
          <w:lang w:eastAsia="en-US" w:bidi="ar-IQ"/>
        </w:rPr>
        <w:t>Однако на протяжении 144 недель</w:t>
      </w:r>
      <w:r>
        <w:rPr>
          <w:rFonts w:eastAsia="Calibri"/>
          <w:sz w:val="28"/>
          <w:szCs w:val="28"/>
          <w:lang w:eastAsia="en-US" w:bidi="ar-IQ"/>
        </w:rPr>
        <w:t xml:space="preserve"> терапии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r>
        <w:rPr>
          <w:rFonts w:eastAsia="Calibri"/>
          <w:sz w:val="28"/>
          <w:szCs w:val="28"/>
          <w:lang w:eastAsia="en-US" w:bidi="ar-IQ"/>
        </w:rPr>
        <w:t>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не было </w:t>
      </w:r>
      <w:r>
        <w:rPr>
          <w:rFonts w:eastAsia="Calibri"/>
          <w:sz w:val="28"/>
          <w:szCs w:val="28"/>
          <w:lang w:eastAsia="en-US" w:bidi="ar-IQ"/>
        </w:rPr>
        <w:t xml:space="preserve">отмечено </w:t>
      </w:r>
      <w:r w:rsidRPr="006D125B">
        <w:rPr>
          <w:rFonts w:eastAsia="Calibri"/>
          <w:sz w:val="28"/>
          <w:szCs w:val="28"/>
          <w:lang w:eastAsia="en-US" w:bidi="ar-IQ"/>
        </w:rPr>
        <w:t>повышения риска переломов или признаков клинически существенных костных нарушений.</w:t>
      </w:r>
    </w:p>
    <w:p w14:paraId="69513C01" w14:textId="77777777" w:rsidR="00F03378" w:rsidRPr="006D125B" w:rsidRDefault="00417089" w:rsidP="00F0337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F03378" w:rsidRPr="006D125B">
        <w:rPr>
          <w:rFonts w:eastAsia="Calibri"/>
          <w:sz w:val="28"/>
          <w:szCs w:val="28"/>
          <w:lang w:eastAsia="en-US"/>
        </w:rPr>
        <w:t xml:space="preserve">аиболее выраженное снижение МПК было обнаружено у пациентов, получавших </w:t>
      </w:r>
      <w:proofErr w:type="spellStart"/>
      <w:r w:rsidR="00F03378"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="00F03378"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03378"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="00F03378"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03378"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="00F03378" w:rsidRPr="006D125B">
        <w:rPr>
          <w:rFonts w:eastAsia="Calibri"/>
          <w:sz w:val="28"/>
          <w:szCs w:val="28"/>
          <w:lang w:eastAsia="en-US"/>
        </w:rPr>
        <w:t xml:space="preserve"> в составе схемы, содержащей усиленный ингибитор протеаз. Пациентам с остеопорозом, имеющим высокий риск переломов, следует подбирать другие методы лечения.</w:t>
      </w:r>
    </w:p>
    <w:p w14:paraId="6C77D5F1" w14:textId="77777777" w:rsidR="008F6A2F" w:rsidRDefault="00F03378" w:rsidP="00F03378">
      <w:pPr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D125B">
        <w:rPr>
          <w:rFonts w:eastAsia="Calibri"/>
          <w:i/>
          <w:iCs/>
          <w:sz w:val="28"/>
          <w:szCs w:val="28"/>
          <w:lang w:eastAsia="en-US"/>
        </w:rPr>
        <w:t>ДКП.</w:t>
      </w:r>
    </w:p>
    <w:p w14:paraId="4C5767C0" w14:textId="77777777" w:rsidR="00F03378" w:rsidRPr="006D125B" w:rsidRDefault="008F6A2F" w:rsidP="00F0337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F03378" w:rsidRPr="006D125B">
        <w:rPr>
          <w:rFonts w:eastAsia="Calibri"/>
          <w:sz w:val="28"/>
          <w:szCs w:val="28"/>
          <w:lang w:eastAsia="en-US"/>
        </w:rPr>
        <w:t xml:space="preserve"> ВИЧ-неинфицированных лиц наблюдали незначительные снижения МПК. </w:t>
      </w:r>
    </w:p>
    <w:p w14:paraId="50340B7D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Масса тела и параметры метаболизма</w:t>
      </w:r>
    </w:p>
    <w:p w14:paraId="77A992F9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При антиретровирусной терапии возможны увеличение массы тела и повышение уровней липидов и глюкозы крови. Такие изменения могут быть частично связанными со степенью контроля над заболеванием и образом жизни. Что касается липидов, то в некоторых случаях имеются признаки эффекта лечения, тогда как в отношении массы тела нет надежных доказательств связи этого параметра с каким-либо конкретным препаратом. Касательно наблюдения за уровнем липидов и глюкозы в крови существуют установленные рекомендации по лечению ВИЧ. Лечение нарушений жирового обмена следует проводить по клиническим показаниям. </w:t>
      </w:r>
    </w:p>
    <w:p w14:paraId="3F784F1F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lastRenderedPageBreak/>
        <w:t xml:space="preserve">Нарушение функций </w:t>
      </w:r>
      <w:proofErr w:type="spellStart"/>
      <w:r w:rsidRPr="006D125B">
        <w:rPr>
          <w:rFonts w:eastAsia="Calibri"/>
          <w:i/>
          <w:sz w:val="28"/>
          <w:szCs w:val="28"/>
          <w:lang w:eastAsia="en-US" w:bidi="ar-IQ"/>
        </w:rPr>
        <w:t>митохондрий</w:t>
      </w:r>
      <w:proofErr w:type="spellEnd"/>
      <w:r w:rsidRPr="006D125B">
        <w:rPr>
          <w:rFonts w:eastAsia="Calibri"/>
          <w:i/>
          <w:sz w:val="28"/>
          <w:szCs w:val="28"/>
          <w:lang w:eastAsia="en-US" w:bidi="ar-IQ"/>
        </w:rPr>
        <w:t xml:space="preserve"> после внутриутробной экспозиции</w:t>
      </w:r>
    </w:p>
    <w:p w14:paraId="05802B10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Н</w:t>
      </w:r>
      <w:r w:rsidRPr="006D125B">
        <w:rPr>
          <w:rFonts w:eastAsia="Calibri"/>
          <w:iCs/>
          <w:sz w:val="28"/>
          <w:szCs w:val="28"/>
          <w:lang w:eastAsia="en-US"/>
        </w:rPr>
        <w:t>уклеозидные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 и нуклеотидные аналоги могут в различной степени влиять на функцию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митохондрий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; особенно сильное влияние оказывают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ставудин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диданозин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зидовудин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. Имеются сообщения о нарушении функций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митохондрий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 у ВИЧ-негативных детей первого года жизни, которые во внутриутробном и (или) послеродовом периоде подверглись влиянию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нуклеозидных</w:t>
      </w:r>
      <w:proofErr w:type="spellEnd"/>
      <w:r w:rsidRPr="006D125B">
        <w:rPr>
          <w:rFonts w:eastAsia="Calibri"/>
          <w:iCs/>
          <w:sz w:val="28"/>
          <w:szCs w:val="28"/>
          <w:lang w:eastAsia="en-US"/>
        </w:rPr>
        <w:t xml:space="preserve"> аналогов; в основном это касалось схем лечения с применением </w:t>
      </w:r>
      <w:proofErr w:type="spellStart"/>
      <w:r w:rsidRPr="006D125B">
        <w:rPr>
          <w:rFonts w:eastAsia="Calibri"/>
          <w:iCs/>
          <w:sz w:val="28"/>
          <w:szCs w:val="28"/>
          <w:lang w:eastAsia="en-US"/>
        </w:rPr>
        <w:t>зидовудина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. Основными неблагоприятными явлениями, о которых сообщалось, были нарушения системы крови (анемия,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нейтропения</w:t>
      </w:r>
      <w:proofErr w:type="spellEnd"/>
      <w:r w:rsidRPr="006D125B">
        <w:rPr>
          <w:rFonts w:eastAsia="Calibri"/>
          <w:sz w:val="28"/>
          <w:szCs w:val="28"/>
          <w:lang w:eastAsia="en-US"/>
        </w:rPr>
        <w:t>) и метаболизма (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гиперлактатемия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гиперлипаземия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). Эти явления часто были преходящими. Имеются редкие сообщения о некоторых поздних неврологических нарушениях (гипертонии, судорожных припадках, аномальном поведении). В настоящее время неизвестно, являются ли такие неврологические нарушения преходящими или постоянными. Это следует иметь в виду при возникновении у ребенка тяжелых клинических нарушений (в частности — неврологических) неясной этиологии после внутриутробного воздействия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нуклеозидных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нуклеотидных аналогов. Эти результаты не влияют на существующие национальные рекомендации использовать антиретровирусное лечение беременным женщинам для профилактики вертикальной передачи ВИЧ.</w:t>
      </w:r>
    </w:p>
    <w:p w14:paraId="2100AD47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r w:rsidRPr="006D125B">
        <w:rPr>
          <w:rFonts w:eastAsia="Calibri"/>
          <w:i/>
          <w:iCs/>
          <w:sz w:val="28"/>
          <w:szCs w:val="28"/>
          <w:lang w:eastAsia="en-US"/>
        </w:rPr>
        <w:t>Синдром иммунной реактивации</w:t>
      </w:r>
    </w:p>
    <w:p w14:paraId="32043391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У ВИЧ-инфицированных пациентов с тяжелой иммунной недостаточностью на момент введения КАРТ может возникнуть воспалительная реакция на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асимптоматические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или остаточные оппортунистические патогены, что может быть причиной серьезных клинических состояний или усиления симптомов. Как правило, такие реакции наблюдались в течение первых нескольких недель или месяцев после начала КАРТ. Соответствующими примерами являются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цитомегаловирусный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ретинит, генерализованные и/или очаговые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микобактериальные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инфекции и пневмония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/>
        </w:rPr>
        <w:t>Pneumocystis</w:t>
      </w:r>
      <w:proofErr w:type="spellEnd"/>
      <w:r w:rsidRPr="006D125B">
        <w:rPr>
          <w:rFonts w:eastAsia="Calibri"/>
          <w:i/>
          <w:iCs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i/>
          <w:iCs/>
          <w:sz w:val="28"/>
          <w:szCs w:val="28"/>
          <w:lang w:eastAsia="en-US"/>
        </w:rPr>
        <w:t>jirovecii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. Любые воспалительные симптомы необходимо оценивать и при необходимости назначать лечение. </w:t>
      </w:r>
    </w:p>
    <w:p w14:paraId="663B130C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Аутоиммунные нарушения (например, болезнь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Грейвса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>) также описаны при иммунной реактивации. Однако отмечается большая вариабельность времени возникновения этого состояния, и оно может развиться через много месяцев после начала приема препаратов.</w:t>
      </w:r>
    </w:p>
    <w:p w14:paraId="0356973E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>Оппортунистические инфекции</w:t>
      </w:r>
    </w:p>
    <w:p w14:paraId="2BF4DDDF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У ВИЧ-1 инфицированных пациентов, получающих препарат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или любую другую антиретровирусную терапию, может продолжаться развитие оппортунистических инфекций и других осложнений ВИЧ-инфекции, поэтому они должны оставаться под тщательным клиническим наблюдением врачей, которые имеют опыт лечения пациентов с заболеваниями, связанными с ВИЧ.</w:t>
      </w:r>
    </w:p>
    <w:p w14:paraId="6BF07E43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proofErr w:type="spellStart"/>
      <w:r w:rsidRPr="006D125B">
        <w:rPr>
          <w:rFonts w:eastAsia="Calibri"/>
          <w:i/>
          <w:iCs/>
          <w:sz w:val="28"/>
          <w:szCs w:val="28"/>
          <w:lang w:eastAsia="en-US"/>
        </w:rPr>
        <w:lastRenderedPageBreak/>
        <w:t>Остеонекроз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0428D0C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Хотя этиология считается многофакторной (включая применение кортикостероидов, употребление алкоголя, тяжелое угнетение иммунитета, высокое значение индекса массы тела), о случаях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остеонекроза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сообщалось, в частности, относительно пациентов с развитым ВИЧ-заболеванием и/или длительным влиянием КАРТ. Частота возникновения указанного явления неизвестна. Пациентам следует порекомендовать обратиться за советом к врачу, если они испытывают боли в суставах, негибкость суставов или затруднения во время движений. </w:t>
      </w:r>
    </w:p>
    <w:p w14:paraId="2CDDD5EE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6D125B">
        <w:rPr>
          <w:rFonts w:eastAsia="Calibri"/>
          <w:sz w:val="28"/>
          <w:szCs w:val="28"/>
          <w:u w:val="single"/>
          <w:lang w:eastAsia="en-US"/>
        </w:rPr>
        <w:t>Одновременное применение с другими лекарственными средствами</w:t>
      </w:r>
    </w:p>
    <w:p w14:paraId="5564E66C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Необходимо избегать применения препарата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у пациентов, получающих или недавно получавших нефротоксические лекарственные средства. В случае неизбежности одновременного применения препарата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нефротоксических средств следует еженедельно контролировать функцию почек.</w:t>
      </w:r>
    </w:p>
    <w:p w14:paraId="1AE8AAB5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У ВИЧ-1 инфицированных пациентов, получающих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имеющих факторы риска нарушения функции почек, зарегистрированы случаи острой почечной недостаточности после начала приема высоких доз или нескольких нестероидных противовоспалительных препаратов (НПВП). При одновременном приеме препарата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с НПВП следует тщательно следить за функцией почек.</w:t>
      </w:r>
    </w:p>
    <w:p w14:paraId="6AE9A3B0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Повышенный риск поражения почек отмечен у ВИЧ-1 инфицированных пациентов, получающих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в сочетании с ингибитором протеаз, усиленным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ритонавиром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кобицистатом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. Такие пациенты нуждаются в тщательном наблюдении за функцией почек. При наличии факторов риска поражения почек у ВИЧ-1 инфицированных пациентов следует тщательно оценить необходимость совместного применения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с усиленным ингибитором протеаз.</w:t>
      </w:r>
    </w:p>
    <w:p w14:paraId="20399126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417A87">
        <w:rPr>
          <w:rFonts w:eastAsia="Calibri"/>
          <w:sz w:val="28"/>
          <w:szCs w:val="28"/>
          <w:lang w:eastAsia="en-US"/>
        </w:rPr>
        <w:t xml:space="preserve">Препарат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не следует применять одновременно с другими лекарственными средствами, содержащими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дизопроксил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(в виде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фумарата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алафенамид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или другие аналоги цитидина, например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ламивудин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. Препарат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не следует применять одновременно с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адефовира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дипивоксилом</w:t>
      </w:r>
      <w:proofErr w:type="spellEnd"/>
      <w:r w:rsidRPr="00417A87">
        <w:rPr>
          <w:rFonts w:eastAsia="Calibri"/>
          <w:sz w:val="28"/>
          <w:szCs w:val="28"/>
          <w:lang w:eastAsia="en-US"/>
        </w:rPr>
        <w:t>.</w:t>
      </w:r>
    </w:p>
    <w:p w14:paraId="5B821C2B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r w:rsidRPr="006D125B">
        <w:rPr>
          <w:rFonts w:eastAsia="Calibri"/>
          <w:i/>
          <w:sz w:val="28"/>
          <w:szCs w:val="28"/>
          <w:lang w:eastAsia="en-US"/>
        </w:rPr>
        <w:t xml:space="preserve">Одновременное применение с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ледипасвиром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велпатасвиром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или с комбинацией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софосбувир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велпатасвир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воксилапревир</w:t>
      </w:r>
      <w:proofErr w:type="spellEnd"/>
    </w:p>
    <w:p w14:paraId="297F94C2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Показано, что одновременное применение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с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ледипасвиром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="006D125B">
        <w:rPr>
          <w:rFonts w:eastAsia="Calibri"/>
          <w:sz w:val="28"/>
          <w:szCs w:val="28"/>
          <w:lang w:eastAsia="en-US"/>
        </w:rPr>
        <w:t>велпатасвиром</w:t>
      </w:r>
      <w:proofErr w:type="spellEnd"/>
      <w:r w:rsidR="006D125B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велпатасвиром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воксилапревиром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повышает концентрацию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в плазме крови, особенно при сочетании со </w:t>
      </w:r>
      <w:r w:rsidRPr="006D125B">
        <w:rPr>
          <w:rFonts w:eastAsia="Calibri"/>
          <w:sz w:val="28"/>
          <w:szCs w:val="28"/>
          <w:lang w:eastAsia="en-US"/>
        </w:rPr>
        <w:lastRenderedPageBreak/>
        <w:t xml:space="preserve">схемой лечения ВИЧ-инфекции, содержащей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фармакокинетический усилитель (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ритонавир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кобицистат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). </w:t>
      </w:r>
    </w:p>
    <w:p w14:paraId="1E7AA8FA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Безопасность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в сочетании с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ледипасвиром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велпатасвиром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/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велпатасвиром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воксилапревиром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фармакокинетическим усилителем не установлена. Следует оценивать возможные риски и преимущества, связанные с таким сочетанием, особенно у пациентов с повышенным риском нарушения функции почек. Пациенты, получающие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ледипасвир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велпатасвир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софосбувир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/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велпатасвир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>/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воксилапревир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одновременно с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усиленным ингибитором протеазы ВИЧ, должны находиться под наблюдением для выявления нежелательных реакций, связанных с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фумаратом</w:t>
      </w:r>
      <w:proofErr w:type="spellEnd"/>
      <w:r w:rsidRPr="006D125B">
        <w:rPr>
          <w:rFonts w:eastAsia="Calibri"/>
          <w:sz w:val="28"/>
          <w:szCs w:val="28"/>
          <w:lang w:eastAsia="en-US"/>
        </w:rPr>
        <w:t>.</w:t>
      </w:r>
    </w:p>
    <w:p w14:paraId="62B131C5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r w:rsidRPr="006D125B">
        <w:rPr>
          <w:rFonts w:eastAsia="Calibri"/>
          <w:i/>
          <w:sz w:val="28"/>
          <w:szCs w:val="28"/>
          <w:lang w:eastAsia="en-US"/>
        </w:rPr>
        <w:t xml:space="preserve">Одновременное применение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фумарата</w:t>
      </w:r>
      <w:proofErr w:type="spellEnd"/>
      <w:r w:rsidRPr="006D125B">
        <w:rPr>
          <w:rFonts w:eastAsia="Calibri"/>
          <w:i/>
          <w:sz w:val="28"/>
          <w:szCs w:val="28"/>
          <w:lang w:eastAsia="en-US"/>
        </w:rPr>
        <w:t xml:space="preserve"> с </w:t>
      </w:r>
      <w:proofErr w:type="spellStart"/>
      <w:r w:rsidRPr="006D125B">
        <w:rPr>
          <w:rFonts w:eastAsia="Calibri"/>
          <w:i/>
          <w:sz w:val="28"/>
          <w:szCs w:val="28"/>
          <w:lang w:eastAsia="en-US"/>
        </w:rPr>
        <w:t>диданозином</w:t>
      </w:r>
      <w:proofErr w:type="spellEnd"/>
    </w:p>
    <w:p w14:paraId="42CF4030" w14:textId="77777777" w:rsidR="00997831" w:rsidRDefault="00997831" w:rsidP="00F03378">
      <w:pPr>
        <w:jc w:val="both"/>
        <w:rPr>
          <w:rFonts w:eastAsia="Calibri"/>
          <w:sz w:val="28"/>
          <w:szCs w:val="28"/>
          <w:lang w:eastAsia="en-US"/>
        </w:rPr>
      </w:pPr>
      <w:r w:rsidRPr="00997831">
        <w:rPr>
          <w:rFonts w:eastAsia="Calibri"/>
          <w:sz w:val="28"/>
          <w:szCs w:val="28"/>
          <w:lang w:eastAsia="en-US"/>
        </w:rPr>
        <w:t>Такое сочетание не рекомендуется</w:t>
      </w:r>
      <w:r>
        <w:rPr>
          <w:rFonts w:eastAsia="Calibri"/>
          <w:sz w:val="28"/>
          <w:szCs w:val="28"/>
          <w:lang w:eastAsia="en-US"/>
        </w:rPr>
        <w:t>.</w:t>
      </w:r>
    </w:p>
    <w:p w14:paraId="23DE4150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 w:bidi="ar-IQ"/>
        </w:rPr>
      </w:pPr>
      <w:r w:rsidRPr="006D125B">
        <w:rPr>
          <w:rFonts w:eastAsia="Calibri"/>
          <w:i/>
          <w:sz w:val="28"/>
          <w:szCs w:val="28"/>
          <w:lang w:eastAsia="en-US" w:bidi="ar-IQ"/>
        </w:rPr>
        <w:t xml:space="preserve">Тройная </w:t>
      </w:r>
      <w:proofErr w:type="spellStart"/>
      <w:r w:rsidRPr="006D125B">
        <w:rPr>
          <w:rFonts w:eastAsia="Calibri"/>
          <w:i/>
          <w:sz w:val="28"/>
          <w:szCs w:val="28"/>
          <w:lang w:eastAsia="en-US" w:bidi="ar-IQ"/>
        </w:rPr>
        <w:t>нуклеозидная</w:t>
      </w:r>
      <w:proofErr w:type="spellEnd"/>
      <w:r w:rsidRPr="006D125B">
        <w:rPr>
          <w:rFonts w:eastAsia="Calibri"/>
          <w:i/>
          <w:sz w:val="28"/>
          <w:szCs w:val="28"/>
          <w:lang w:eastAsia="en-US" w:bidi="ar-IQ"/>
        </w:rPr>
        <w:t xml:space="preserve"> терапия</w:t>
      </w:r>
    </w:p>
    <w:p w14:paraId="207C65AB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 w:bidi="ar-IQ"/>
        </w:rPr>
      </w:pPr>
      <w:r w:rsidRPr="006D125B">
        <w:rPr>
          <w:rFonts w:eastAsia="Calibri"/>
          <w:sz w:val="28"/>
          <w:szCs w:val="28"/>
          <w:lang w:eastAsia="en-US" w:bidi="ar-IQ"/>
        </w:rPr>
        <w:t xml:space="preserve">Поступали сообщения о высокой частоте </w:t>
      </w:r>
      <w:r w:rsidRPr="006D125B">
        <w:rPr>
          <w:rFonts w:eastAsia="Calibri"/>
          <w:sz w:val="28"/>
          <w:szCs w:val="28"/>
          <w:lang w:eastAsia="en-US"/>
        </w:rPr>
        <w:t>отсутствия вирусологического ответа</w:t>
      </w:r>
      <w:r w:rsidRPr="006D125B">
        <w:rPr>
          <w:rFonts w:eastAsia="Calibri"/>
          <w:sz w:val="28"/>
          <w:szCs w:val="28"/>
          <w:lang w:eastAsia="en-US" w:bidi="ar-IQ"/>
        </w:rPr>
        <w:t xml:space="preserve"> и появлении резистентности на ранней стадии лечения ВИЧ-1 инфицированных пациентов при сочетании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ламивудином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абакавиром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, а также с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ламивудином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диданозином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по схеме введения 1 раз в сутки. Существует близкое структурное сходство между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ламивудином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эмтрицитабином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, а также сходство фармакокинетики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фармакодинамики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этих двух средств. Поэтому такие же проблемы могут возникнуть при применении препарата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с третьим </w:t>
      </w:r>
      <w:proofErr w:type="spellStart"/>
      <w:r w:rsidRPr="006D125B">
        <w:rPr>
          <w:rFonts w:eastAsia="Calibri"/>
          <w:sz w:val="28"/>
          <w:szCs w:val="28"/>
          <w:lang w:eastAsia="en-US" w:bidi="ar-IQ"/>
        </w:rPr>
        <w:t>нуклеозидным</w:t>
      </w:r>
      <w:proofErr w:type="spellEnd"/>
      <w:r w:rsidRPr="006D125B">
        <w:rPr>
          <w:rFonts w:eastAsia="Calibri"/>
          <w:sz w:val="28"/>
          <w:szCs w:val="28"/>
          <w:lang w:eastAsia="en-US" w:bidi="ar-IQ"/>
        </w:rPr>
        <w:t xml:space="preserve"> аналогом.</w:t>
      </w:r>
    </w:p>
    <w:p w14:paraId="5F550F29" w14:textId="77777777" w:rsidR="00F03378" w:rsidRPr="006D125B" w:rsidRDefault="00F03378" w:rsidP="00F03378">
      <w:pPr>
        <w:jc w:val="both"/>
        <w:rPr>
          <w:rFonts w:eastAsia="Calibri"/>
          <w:i/>
          <w:sz w:val="28"/>
          <w:szCs w:val="28"/>
          <w:lang w:eastAsia="en-US"/>
        </w:rPr>
      </w:pPr>
      <w:r w:rsidRPr="006D125B">
        <w:rPr>
          <w:rFonts w:eastAsia="Calibri"/>
          <w:i/>
          <w:iCs/>
          <w:sz w:val="28"/>
          <w:szCs w:val="28"/>
          <w:lang w:eastAsia="en-US"/>
        </w:rPr>
        <w:t>Пациенты пожилого возраста</w:t>
      </w:r>
      <w:r w:rsidRPr="006D125B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5D338104" w14:textId="77777777" w:rsidR="00F03378" w:rsidRPr="006D125B" w:rsidRDefault="00F03378" w:rsidP="00F03378">
      <w:pPr>
        <w:jc w:val="both"/>
        <w:rPr>
          <w:rFonts w:eastAsia="Calibri"/>
          <w:sz w:val="28"/>
          <w:szCs w:val="28"/>
          <w:lang w:eastAsia="en-US"/>
        </w:rPr>
      </w:pPr>
      <w:r w:rsidRPr="006D125B">
        <w:rPr>
          <w:rFonts w:eastAsia="Calibri"/>
          <w:sz w:val="28"/>
          <w:szCs w:val="28"/>
          <w:lang w:eastAsia="en-US"/>
        </w:rPr>
        <w:t xml:space="preserve">Исследование препарата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125B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6D125B">
        <w:rPr>
          <w:rFonts w:eastAsia="Calibri"/>
          <w:sz w:val="28"/>
          <w:szCs w:val="28"/>
          <w:lang w:eastAsia="en-US"/>
        </w:rPr>
        <w:t xml:space="preserve"> </w:t>
      </w:r>
      <w:r w:rsidRPr="00417A87">
        <w:rPr>
          <w:rFonts w:eastAsia="Calibri"/>
          <w:sz w:val="28"/>
          <w:szCs w:val="28"/>
          <w:lang w:eastAsia="en-US"/>
        </w:rPr>
        <w:t xml:space="preserve">среди пациентов в возрасте старше 65 лет не проводилось. Пациенты пожилого возраста в большей степени склонны иметь пониженную почечную функцию, поэтому во время лечения этой популяции препаратом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Эмтрицитабин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тенофовира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дизопроксила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17A87">
        <w:rPr>
          <w:rFonts w:eastAsia="Calibri"/>
          <w:sz w:val="28"/>
          <w:szCs w:val="28"/>
          <w:lang w:eastAsia="en-US"/>
        </w:rPr>
        <w:t>фумарат</w:t>
      </w:r>
      <w:proofErr w:type="spellEnd"/>
      <w:r w:rsidRPr="00417A87">
        <w:rPr>
          <w:rFonts w:eastAsia="Calibri"/>
          <w:sz w:val="28"/>
          <w:szCs w:val="28"/>
          <w:lang w:eastAsia="en-US"/>
        </w:rPr>
        <w:t xml:space="preserve"> необходимо соблюдать осторожность.</w:t>
      </w:r>
    </w:p>
    <w:p w14:paraId="1BE97097" w14:textId="77777777" w:rsidR="00644A0E" w:rsidRPr="00644A0E" w:rsidRDefault="00644A0E" w:rsidP="00644A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r w:rsidRPr="00644A0E">
        <w:rPr>
          <w:i/>
          <w:color w:val="000000"/>
          <w:spacing w:val="-6"/>
          <w:sz w:val="28"/>
          <w:szCs w:val="28"/>
        </w:rPr>
        <w:t>Вспомогательные вещества</w:t>
      </w:r>
    </w:p>
    <w:p w14:paraId="6591072D" w14:textId="77777777" w:rsidR="00644A0E" w:rsidRPr="00644A0E" w:rsidRDefault="00644A0E" w:rsidP="00644A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44A0E">
        <w:rPr>
          <w:color w:val="000000"/>
          <w:spacing w:val="-6"/>
          <w:sz w:val="28"/>
          <w:szCs w:val="28"/>
        </w:rPr>
        <w:t xml:space="preserve">В одной таблетке содержится 80 мг натрия </w:t>
      </w:r>
      <w:proofErr w:type="spellStart"/>
      <w:r w:rsidRPr="00644A0E">
        <w:rPr>
          <w:color w:val="000000"/>
          <w:spacing w:val="-6"/>
          <w:sz w:val="28"/>
          <w:szCs w:val="28"/>
        </w:rPr>
        <w:t>кроскармеллозы</w:t>
      </w:r>
      <w:proofErr w:type="spellEnd"/>
      <w:r w:rsidRPr="00644A0E">
        <w:rPr>
          <w:color w:val="000000"/>
          <w:spacing w:val="-6"/>
          <w:sz w:val="28"/>
          <w:szCs w:val="28"/>
        </w:rPr>
        <w:t>, необходимо соблюдать осторожность при назначении лицам, соблюдающим бессолевую диету.</w:t>
      </w:r>
    </w:p>
    <w:p w14:paraId="07CD3DA4" w14:textId="77777777" w:rsidR="00644A0E" w:rsidRPr="00407ACE" w:rsidRDefault="00644A0E" w:rsidP="00644A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44A0E">
        <w:rPr>
          <w:color w:val="000000"/>
          <w:spacing w:val="-6"/>
          <w:sz w:val="28"/>
          <w:szCs w:val="28"/>
        </w:rPr>
        <w:t xml:space="preserve">В одной таблетке содержится 145 мг лактозы, противопоказано лицам с наследственной непереносимостью галактозы, дефицитом фермента </w:t>
      </w:r>
      <w:proofErr w:type="spellStart"/>
      <w:r w:rsidRPr="00644A0E">
        <w:rPr>
          <w:color w:val="000000"/>
          <w:spacing w:val="-6"/>
          <w:sz w:val="28"/>
          <w:szCs w:val="28"/>
        </w:rPr>
        <w:t>Lapp</w:t>
      </w:r>
      <w:proofErr w:type="spellEnd"/>
      <w:r w:rsidRPr="00644A0E">
        <w:rPr>
          <w:color w:val="000000"/>
          <w:spacing w:val="-6"/>
          <w:sz w:val="28"/>
          <w:szCs w:val="28"/>
        </w:rPr>
        <w:t xml:space="preserve"> (ЛАПП)-</w:t>
      </w:r>
      <w:proofErr w:type="spellStart"/>
      <w:r w:rsidRPr="00644A0E">
        <w:rPr>
          <w:color w:val="000000"/>
          <w:spacing w:val="-6"/>
          <w:sz w:val="28"/>
          <w:szCs w:val="28"/>
        </w:rPr>
        <w:t>лактазы</w:t>
      </w:r>
      <w:proofErr w:type="spellEnd"/>
      <w:r w:rsidRPr="00644A0E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644A0E">
        <w:rPr>
          <w:color w:val="000000"/>
          <w:spacing w:val="-6"/>
          <w:sz w:val="28"/>
          <w:szCs w:val="28"/>
        </w:rPr>
        <w:t>мальабсорбцией</w:t>
      </w:r>
      <w:proofErr w:type="spellEnd"/>
      <w:r w:rsidRPr="00644A0E">
        <w:rPr>
          <w:color w:val="000000"/>
          <w:spacing w:val="-6"/>
          <w:sz w:val="28"/>
          <w:szCs w:val="28"/>
        </w:rPr>
        <w:t xml:space="preserve"> глюкозы-галактозы.</w:t>
      </w:r>
    </w:p>
    <w:p w14:paraId="67C26C75" w14:textId="77777777" w:rsidR="00F037A7" w:rsidRPr="00F037A7" w:rsidRDefault="00F037A7" w:rsidP="00F037A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r w:rsidRPr="00F037A7">
        <w:rPr>
          <w:bCs/>
          <w:i/>
          <w:color w:val="000000"/>
          <w:spacing w:val="-6"/>
          <w:sz w:val="28"/>
          <w:szCs w:val="28"/>
        </w:rPr>
        <w:t>Беременность и период лактации</w:t>
      </w:r>
    </w:p>
    <w:p w14:paraId="28C7A0F8" w14:textId="77777777" w:rsidR="00533B92" w:rsidRPr="00533B92" w:rsidRDefault="00533B92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pacing w:val="-6"/>
          <w:sz w:val="28"/>
          <w:szCs w:val="28"/>
        </w:rPr>
      </w:pPr>
      <w:r w:rsidRPr="00533B92">
        <w:rPr>
          <w:i/>
          <w:iCs/>
          <w:color w:val="000000"/>
          <w:spacing w:val="-6"/>
          <w:sz w:val="28"/>
          <w:szCs w:val="28"/>
        </w:rPr>
        <w:t>Беременность</w:t>
      </w:r>
    </w:p>
    <w:p w14:paraId="0D77031E" w14:textId="77777777" w:rsidR="006D125B" w:rsidRDefault="006D125B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D125B">
        <w:rPr>
          <w:color w:val="000000"/>
          <w:spacing w:val="-6"/>
          <w:sz w:val="28"/>
          <w:szCs w:val="28"/>
        </w:rPr>
        <w:t xml:space="preserve">Большое количество данных, полученных у беременных женщин (более 1000 </w:t>
      </w:r>
      <w:r w:rsidRPr="006D125B">
        <w:rPr>
          <w:color w:val="000000"/>
          <w:spacing w:val="-6"/>
          <w:sz w:val="28"/>
          <w:szCs w:val="28"/>
        </w:rPr>
        <w:lastRenderedPageBreak/>
        <w:t xml:space="preserve">беременностей, завершившихся рождением ребенка), указывают на отсутствие пороков развития или токсического воздействия на плод/новорожденного, которые были бы связаны с </w:t>
      </w:r>
      <w:proofErr w:type="spellStart"/>
      <w:r w:rsidRPr="006D125B">
        <w:rPr>
          <w:color w:val="000000"/>
          <w:spacing w:val="-6"/>
          <w:sz w:val="28"/>
          <w:szCs w:val="28"/>
        </w:rPr>
        <w:t>эмтрицитабином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Pr="006D125B">
        <w:rPr>
          <w:color w:val="000000"/>
          <w:spacing w:val="-6"/>
          <w:sz w:val="28"/>
          <w:szCs w:val="28"/>
        </w:rPr>
        <w:t>тенофовира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дизопроксила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фумаратом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. При необходимости можно рассмотреть целесообразность применения препарата </w:t>
      </w:r>
      <w:proofErr w:type="spellStart"/>
      <w:r w:rsidRPr="006D125B">
        <w:rPr>
          <w:color w:val="000000"/>
          <w:spacing w:val="-6"/>
          <w:sz w:val="28"/>
          <w:szCs w:val="28"/>
        </w:rPr>
        <w:t>Эмтрицитабин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Pr="006D125B">
        <w:rPr>
          <w:color w:val="000000"/>
          <w:spacing w:val="-6"/>
          <w:sz w:val="28"/>
          <w:szCs w:val="28"/>
        </w:rPr>
        <w:t>тенофовира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дизопроксила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фумарат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во время беременности.</w:t>
      </w:r>
    </w:p>
    <w:p w14:paraId="29BF5224" w14:textId="77777777" w:rsidR="008F6A2F" w:rsidRDefault="008F6A2F" w:rsidP="006D125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Кормление грудью</w:t>
      </w:r>
    </w:p>
    <w:p w14:paraId="2BBF0A6B" w14:textId="77777777" w:rsidR="006D125B" w:rsidRPr="008F6A2F" w:rsidRDefault="008F6A2F" w:rsidP="006D125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  <w:proofErr w:type="spellStart"/>
      <w:r>
        <w:rPr>
          <w:color w:val="000000"/>
          <w:spacing w:val="-6"/>
          <w:sz w:val="28"/>
          <w:szCs w:val="28"/>
        </w:rPr>
        <w:t>Э</w:t>
      </w:r>
      <w:r w:rsidR="006D125B" w:rsidRPr="006D125B">
        <w:rPr>
          <w:color w:val="000000"/>
          <w:spacing w:val="-6"/>
          <w:sz w:val="28"/>
          <w:szCs w:val="28"/>
        </w:rPr>
        <w:t>мтрицитабин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тенофовир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выделяются в грудное молоко. Данные о влиянии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эмтрицитабина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тенофовира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на новорожденных/младенцев недостаточны. Поэтому препарат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Эмтрицитабин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тенофовира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дизопроксила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6D125B" w:rsidRPr="006D125B">
        <w:rPr>
          <w:color w:val="000000"/>
          <w:spacing w:val="-6"/>
          <w:sz w:val="28"/>
          <w:szCs w:val="28"/>
        </w:rPr>
        <w:t>фумарат</w:t>
      </w:r>
      <w:proofErr w:type="spellEnd"/>
      <w:r w:rsidR="006D125B" w:rsidRPr="006D125B">
        <w:rPr>
          <w:color w:val="000000"/>
          <w:spacing w:val="-6"/>
          <w:sz w:val="28"/>
          <w:szCs w:val="28"/>
        </w:rPr>
        <w:t xml:space="preserve"> не следует применять в период кормления грудью.</w:t>
      </w:r>
    </w:p>
    <w:p w14:paraId="5AFF6E75" w14:textId="77777777" w:rsidR="006D125B" w:rsidRDefault="006D125B" w:rsidP="006D125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D125B">
        <w:rPr>
          <w:color w:val="000000"/>
          <w:spacing w:val="-6"/>
          <w:sz w:val="28"/>
          <w:szCs w:val="28"/>
        </w:rPr>
        <w:t>В целом ВИЧ-инфицированным женщинам не рекомендуется кормить грудью во избежание передачи ВИЧ ребенку.</w:t>
      </w:r>
    </w:p>
    <w:p w14:paraId="143D5234" w14:textId="77777777" w:rsidR="00F037A7" w:rsidRPr="00F037A7" w:rsidRDefault="00F037A7" w:rsidP="00F037A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F037A7">
        <w:rPr>
          <w:i/>
          <w:color w:val="000000"/>
          <w:spacing w:val="-6"/>
          <w:sz w:val="28"/>
          <w:szCs w:val="28"/>
        </w:rPr>
        <w:t xml:space="preserve">Особенности влияния лекарственного средства на способность управлять транспортным </w:t>
      </w:r>
      <w:r w:rsidR="00843E84" w:rsidRPr="00F037A7">
        <w:rPr>
          <w:i/>
          <w:color w:val="000000"/>
          <w:spacing w:val="-6"/>
          <w:sz w:val="28"/>
          <w:szCs w:val="28"/>
        </w:rPr>
        <w:t>средством или</w:t>
      </w:r>
      <w:r w:rsidRPr="00F037A7">
        <w:rPr>
          <w:i/>
          <w:color w:val="000000"/>
          <w:spacing w:val="-6"/>
          <w:sz w:val="28"/>
          <w:szCs w:val="28"/>
        </w:rPr>
        <w:t xml:space="preserve"> потенциально опасными механизмами </w:t>
      </w:r>
    </w:p>
    <w:p w14:paraId="0F874440" w14:textId="77777777" w:rsidR="00E7228E" w:rsidRDefault="006D125B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D125B">
        <w:rPr>
          <w:color w:val="000000"/>
          <w:spacing w:val="-6"/>
          <w:sz w:val="28"/>
          <w:szCs w:val="28"/>
        </w:rPr>
        <w:t xml:space="preserve">Исследования относительно влияния на способность управлять автотранспортом и использовать механизмы не проводились. Пациентов следует проинформировать о наличии сообщений о головокружении при лечении </w:t>
      </w:r>
      <w:proofErr w:type="spellStart"/>
      <w:r w:rsidRPr="006D125B">
        <w:rPr>
          <w:color w:val="000000"/>
          <w:spacing w:val="-6"/>
          <w:sz w:val="28"/>
          <w:szCs w:val="28"/>
        </w:rPr>
        <w:t>эмтрицитабином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Pr="006D125B">
        <w:rPr>
          <w:color w:val="000000"/>
          <w:spacing w:val="-6"/>
          <w:sz w:val="28"/>
          <w:szCs w:val="28"/>
        </w:rPr>
        <w:t>тенофовира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дизопроксила</w:t>
      </w:r>
      <w:proofErr w:type="spellEnd"/>
      <w:r w:rsidRPr="006D125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6D125B">
        <w:rPr>
          <w:color w:val="000000"/>
          <w:spacing w:val="-6"/>
          <w:sz w:val="28"/>
          <w:szCs w:val="28"/>
        </w:rPr>
        <w:t>фумаратом</w:t>
      </w:r>
      <w:proofErr w:type="spellEnd"/>
      <w:r w:rsidRPr="006D125B">
        <w:rPr>
          <w:color w:val="000000"/>
          <w:spacing w:val="-6"/>
          <w:sz w:val="28"/>
          <w:szCs w:val="28"/>
        </w:rPr>
        <w:t>.</w:t>
      </w:r>
    </w:p>
    <w:p w14:paraId="5351F6EF" w14:textId="77777777" w:rsidR="006D125B" w:rsidRDefault="006D125B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</w:p>
    <w:p w14:paraId="0A7B04B2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  <w:r w:rsidRPr="005E58B9">
        <w:rPr>
          <w:b/>
          <w:color w:val="000000"/>
          <w:spacing w:val="-6"/>
          <w:sz w:val="28"/>
          <w:szCs w:val="28"/>
        </w:rPr>
        <w:t>Рекомендации по применению</w:t>
      </w:r>
    </w:p>
    <w:p w14:paraId="2C6FDA49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6"/>
          <w:sz w:val="28"/>
          <w:szCs w:val="28"/>
        </w:rPr>
      </w:pPr>
      <w:r w:rsidRPr="005E58B9">
        <w:rPr>
          <w:b/>
          <w:i/>
          <w:color w:val="000000"/>
          <w:spacing w:val="-6"/>
          <w:sz w:val="28"/>
          <w:szCs w:val="28"/>
        </w:rPr>
        <w:t xml:space="preserve">Режим дозирования </w:t>
      </w:r>
    </w:p>
    <w:p w14:paraId="5A15F025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sz w:val="28"/>
          <w:szCs w:val="28"/>
          <w:lang w:eastAsia="en-US" w:bidi="ar-IQ"/>
        </w:rPr>
        <w:t xml:space="preserve">Лечение препаратом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должен начать врач, который имеет опыт в лечении ВИЧ-инфекции.</w:t>
      </w:r>
    </w:p>
    <w:p w14:paraId="16AA9C2D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i/>
          <w:sz w:val="28"/>
          <w:szCs w:val="28"/>
          <w:lang w:eastAsia="en-US" w:bidi="ar-IQ"/>
        </w:rPr>
        <w:t>Лечение ВИЧ у взрослых с весом тела не менее 35 кг:</w:t>
      </w:r>
      <w:r w:rsidRPr="00C91882">
        <w:rPr>
          <w:rFonts w:eastAsia="Calibri"/>
          <w:sz w:val="28"/>
          <w:szCs w:val="28"/>
          <w:lang w:eastAsia="en-US" w:bidi="ar-IQ"/>
        </w:rPr>
        <w:t xml:space="preserve"> по одной таблетке один раз в сутки.</w:t>
      </w:r>
    </w:p>
    <w:p w14:paraId="2A3630EF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i/>
          <w:sz w:val="28"/>
          <w:szCs w:val="28"/>
          <w:lang w:eastAsia="en-US" w:bidi="ar-IQ"/>
        </w:rPr>
        <w:t>Профилактика ВИЧ у взрослых с весом тела не менее 35 кг:</w:t>
      </w:r>
      <w:r w:rsidRPr="00C91882">
        <w:rPr>
          <w:rFonts w:eastAsia="Calibri"/>
          <w:sz w:val="28"/>
          <w:szCs w:val="28"/>
          <w:lang w:eastAsia="en-US" w:bidi="ar-IQ"/>
        </w:rPr>
        <w:t xml:space="preserve"> по одной таблетке один раз в сутки.</w:t>
      </w:r>
    </w:p>
    <w:p w14:paraId="7BFFF858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sz w:val="28"/>
          <w:szCs w:val="28"/>
          <w:lang w:eastAsia="en-US" w:bidi="ar-IQ"/>
        </w:rPr>
        <w:t xml:space="preserve">На случай необходимости прекращения приема или коррекции дозы одного из компонентов препарата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имеются раздельные препараты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фумарата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>. Обратитесь к инструкциям по применению этих лекарственных препаратов.</w:t>
      </w:r>
    </w:p>
    <w:p w14:paraId="25E738AA" w14:textId="77777777" w:rsidR="00C91882" w:rsidRPr="009700C3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  <w:lang w:eastAsia="en-US" w:bidi="ar-IQ"/>
        </w:rPr>
      </w:pPr>
      <w:r w:rsidRPr="009700C3">
        <w:rPr>
          <w:rFonts w:eastAsia="Calibri"/>
          <w:i/>
          <w:iCs/>
          <w:sz w:val="28"/>
          <w:szCs w:val="28"/>
          <w:lang w:eastAsia="en-US" w:bidi="ar-IQ"/>
        </w:rPr>
        <w:t>Особые группы пациентов</w:t>
      </w:r>
    </w:p>
    <w:p w14:paraId="32758C6E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  <w:lang w:eastAsia="en-US" w:bidi="ar-IQ"/>
        </w:rPr>
      </w:pPr>
      <w:r w:rsidRPr="00C91882">
        <w:rPr>
          <w:rFonts w:eastAsia="Calibri"/>
          <w:i/>
          <w:iCs/>
          <w:sz w:val="28"/>
          <w:szCs w:val="28"/>
          <w:lang w:eastAsia="en-US" w:bidi="ar-IQ"/>
        </w:rPr>
        <w:t>Пожилой возраст (старше 65 лет).</w:t>
      </w:r>
      <w:r w:rsidRPr="00C91882">
        <w:rPr>
          <w:rFonts w:eastAsia="Calibri"/>
          <w:sz w:val="28"/>
          <w:szCs w:val="28"/>
          <w:lang w:eastAsia="en-US" w:bidi="ar-IQ"/>
        </w:rPr>
        <w:t xml:space="preserve"> Коррекция дозы не требуется</w:t>
      </w:r>
      <w:r>
        <w:rPr>
          <w:rFonts w:eastAsia="Calibri"/>
          <w:sz w:val="28"/>
          <w:szCs w:val="28"/>
          <w:lang w:eastAsia="en-US" w:bidi="ar-IQ"/>
        </w:rPr>
        <w:t>.</w:t>
      </w:r>
    </w:p>
    <w:p w14:paraId="6299140D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i/>
          <w:sz w:val="28"/>
          <w:szCs w:val="28"/>
          <w:lang w:eastAsia="en-US" w:bidi="ar-IQ"/>
        </w:rPr>
        <w:t xml:space="preserve">Почечная недостаточность.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выводятся из организма через почки, поэтому экспозиция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увеличивается у пациентов с почечной дисфункцией. </w:t>
      </w:r>
    </w:p>
    <w:p w14:paraId="25A32A7D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  <w:lang w:eastAsia="en-US" w:bidi="ar-IQ"/>
        </w:rPr>
      </w:pPr>
      <w:r w:rsidRPr="00C91882">
        <w:rPr>
          <w:rFonts w:eastAsia="Calibri"/>
          <w:i/>
          <w:sz w:val="28"/>
          <w:szCs w:val="28"/>
          <w:lang w:eastAsia="en-US" w:bidi="ar-IQ"/>
        </w:rPr>
        <w:t xml:space="preserve">Взрослые пациенты с нарушением функции почек. </w:t>
      </w:r>
    </w:p>
    <w:p w14:paraId="7FA1C93C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sz w:val="28"/>
          <w:szCs w:val="28"/>
          <w:lang w:eastAsia="en-US" w:bidi="ar-IQ"/>
        </w:rPr>
        <w:t>Пациентам с клиренсом креатинина (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CrCl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) ниже 80 мл/мин препарат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Эмтрицитабин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и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тенофовира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дизопроксила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</w:t>
      </w:r>
      <w:proofErr w:type="spellStart"/>
      <w:r w:rsidRPr="00C91882">
        <w:rPr>
          <w:rFonts w:eastAsia="Calibri"/>
          <w:sz w:val="28"/>
          <w:szCs w:val="28"/>
          <w:lang w:eastAsia="en-US" w:bidi="ar-IQ"/>
        </w:rPr>
        <w:t>фумарат</w:t>
      </w:r>
      <w:proofErr w:type="spellEnd"/>
      <w:r w:rsidRPr="00C91882">
        <w:rPr>
          <w:rFonts w:eastAsia="Calibri"/>
          <w:sz w:val="28"/>
          <w:szCs w:val="28"/>
          <w:lang w:eastAsia="en-US" w:bidi="ar-IQ"/>
        </w:rPr>
        <w:t xml:space="preserve"> следует назначать только в случаях, когда возможная польза превышает возможные риски. См. таблицу 1.</w:t>
      </w:r>
    </w:p>
    <w:p w14:paraId="7CB1FC1A" w14:textId="77777777" w:rsidR="00C91882" w:rsidRPr="00C91882" w:rsidRDefault="009700C3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>
        <w:rPr>
          <w:rFonts w:eastAsia="Calibri"/>
          <w:sz w:val="28"/>
          <w:szCs w:val="28"/>
          <w:lang w:eastAsia="en-US" w:bidi="ar-IQ"/>
        </w:rPr>
        <w:t xml:space="preserve">Таблица 1. </w:t>
      </w:r>
      <w:r w:rsidR="00C91882" w:rsidRPr="00C91882">
        <w:rPr>
          <w:rFonts w:eastAsia="Calibri"/>
          <w:sz w:val="28"/>
          <w:szCs w:val="28"/>
          <w:lang w:eastAsia="en-US" w:bidi="ar-IQ"/>
        </w:rPr>
        <w:t xml:space="preserve">Рекомендации по дозированию для взрослых пациентов с </w:t>
      </w:r>
      <w:r w:rsidR="00C91882" w:rsidRPr="00C91882">
        <w:rPr>
          <w:rFonts w:eastAsia="Calibri"/>
          <w:sz w:val="28"/>
          <w:szCs w:val="28"/>
          <w:lang w:eastAsia="en-US" w:bidi="ar-IQ"/>
        </w:rPr>
        <w:lastRenderedPageBreak/>
        <w:t>нарушением функции почек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508"/>
        <w:gridCol w:w="3509"/>
      </w:tblGrid>
      <w:tr w:rsidR="00C91882" w:rsidRPr="009700C3" w14:paraId="7CA315D7" w14:textId="77777777" w:rsidTr="000B2E7B">
        <w:tc>
          <w:tcPr>
            <w:tcW w:w="1222" w:type="pct"/>
            <w:shd w:val="clear" w:color="auto" w:fill="auto"/>
          </w:tcPr>
          <w:p w14:paraId="532174A5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Нарушение функции почек</w:t>
            </w:r>
          </w:p>
        </w:tc>
        <w:tc>
          <w:tcPr>
            <w:tcW w:w="1889" w:type="pct"/>
          </w:tcPr>
          <w:p w14:paraId="4584B9E1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Лечение инфекции ВИЧ-1</w:t>
            </w:r>
          </w:p>
        </w:tc>
        <w:tc>
          <w:tcPr>
            <w:tcW w:w="1889" w:type="pct"/>
            <w:shd w:val="clear" w:color="auto" w:fill="auto"/>
          </w:tcPr>
          <w:p w14:paraId="0FDBC1B6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Доконтактная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профилактика</w:t>
            </w:r>
          </w:p>
        </w:tc>
      </w:tr>
      <w:tr w:rsidR="00C91882" w:rsidRPr="009700C3" w14:paraId="2440E2A9" w14:textId="77777777" w:rsidTr="000B2E7B">
        <w:trPr>
          <w:trHeight w:val="2280"/>
        </w:trPr>
        <w:tc>
          <w:tcPr>
            <w:tcW w:w="1222" w:type="pct"/>
            <w:shd w:val="clear" w:color="auto" w:fill="auto"/>
          </w:tcPr>
          <w:p w14:paraId="1789D830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 xml:space="preserve">Легкое нарушение функции почек </w:t>
            </w:r>
          </w:p>
          <w:p w14:paraId="1E375F50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(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CrCl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> 50</w:t>
            </w:r>
            <w:r w:rsidRPr="009700C3">
              <w:rPr>
                <w:rFonts w:eastAsia="Calibri"/>
                <w:szCs w:val="24"/>
                <w:lang w:eastAsia="en-US" w:bidi="ar-IQ"/>
              </w:rPr>
              <w:noBreakHyphen/>
              <w:t>80 мл/мин)</w:t>
            </w:r>
          </w:p>
        </w:tc>
        <w:tc>
          <w:tcPr>
            <w:tcW w:w="1889" w:type="pct"/>
          </w:tcPr>
          <w:p w14:paraId="4D504A8A" w14:textId="77777777" w:rsidR="00C91882" w:rsidRPr="009700C3" w:rsidRDefault="008F6A2F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>
              <w:rPr>
                <w:rFonts w:eastAsia="Calibri"/>
                <w:szCs w:val="24"/>
                <w:lang w:eastAsia="en-US" w:bidi="ar-IQ"/>
              </w:rPr>
              <w:t>Прием</w:t>
            </w:r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препарата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Эмтрицитабин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фумарат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один раз в сутки.</w:t>
            </w:r>
          </w:p>
        </w:tc>
        <w:tc>
          <w:tcPr>
            <w:tcW w:w="1889" w:type="pct"/>
            <w:shd w:val="clear" w:color="auto" w:fill="auto"/>
          </w:tcPr>
          <w:p w14:paraId="1C487F1B" w14:textId="77777777" w:rsidR="00C91882" w:rsidRPr="009700C3" w:rsidRDefault="008F6A2F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>
              <w:rPr>
                <w:rFonts w:eastAsia="Calibri"/>
                <w:szCs w:val="24"/>
                <w:lang w:eastAsia="en-US" w:bidi="ar-IQ"/>
              </w:rPr>
              <w:t>Сохранение</w:t>
            </w:r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режима дозирования препарата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Эмтрицитабин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фумарат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1 раз в сутки неинфицированными пациентами с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Cl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креатинина 60–80 мл/мин. Прием препарат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Эмтрицитабин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фумарат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не рекомендован пациентам с </w:t>
            </w:r>
            <w:proofErr w:type="spellStart"/>
            <w:r w:rsidR="00C91882" w:rsidRPr="009700C3">
              <w:rPr>
                <w:rFonts w:eastAsia="Calibri"/>
                <w:szCs w:val="24"/>
                <w:lang w:eastAsia="en-US" w:bidi="ar-IQ"/>
              </w:rPr>
              <w:t>Cl</w:t>
            </w:r>
            <w:proofErr w:type="spellEnd"/>
            <w:r w:rsidR="00C91882" w:rsidRPr="009700C3">
              <w:rPr>
                <w:rFonts w:eastAsia="Calibri"/>
                <w:szCs w:val="24"/>
                <w:lang w:eastAsia="en-US" w:bidi="ar-IQ"/>
              </w:rPr>
              <w:t xml:space="preserve"> креатинина менее 60 мл/мин, неинфицированным ВИЧ-1, в связи с отсутствием данных у данной популяции</w:t>
            </w:r>
          </w:p>
        </w:tc>
      </w:tr>
      <w:tr w:rsidR="00C91882" w:rsidRPr="009700C3" w14:paraId="3B1CA024" w14:textId="77777777" w:rsidTr="000B2E7B">
        <w:trPr>
          <w:trHeight w:val="4119"/>
        </w:trPr>
        <w:tc>
          <w:tcPr>
            <w:tcW w:w="1222" w:type="pct"/>
            <w:shd w:val="clear" w:color="auto" w:fill="auto"/>
          </w:tcPr>
          <w:p w14:paraId="68443B8B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Умеренное нарушение функции почек (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CrCl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> 30</w:t>
            </w:r>
            <w:r w:rsidRPr="009700C3">
              <w:rPr>
                <w:rFonts w:eastAsia="Calibri"/>
                <w:szCs w:val="24"/>
                <w:lang w:eastAsia="en-US" w:bidi="ar-IQ"/>
              </w:rPr>
              <w:noBreakHyphen/>
              <w:t>49 мл/мин)</w:t>
            </w:r>
          </w:p>
        </w:tc>
        <w:tc>
          <w:tcPr>
            <w:tcW w:w="1889" w:type="pct"/>
          </w:tcPr>
          <w:p w14:paraId="1CAD2EA5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 xml:space="preserve">На основании моделирования данных фармакокинетики после однократного приема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эмтрицитабина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фумарата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у не ВИЧ-инфицированных пациентов с разными степенями нарушения функции почек рекомендуется прием препарата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Эмтрицитабин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фумарат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каждые 48 часов.</w:t>
            </w:r>
          </w:p>
        </w:tc>
        <w:tc>
          <w:tcPr>
            <w:tcW w:w="1889" w:type="pct"/>
            <w:shd w:val="clear" w:color="auto" w:fill="auto"/>
          </w:tcPr>
          <w:p w14:paraId="3AE3400A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Не рекомендуется к использованию у этой группы пациентов.</w:t>
            </w:r>
          </w:p>
        </w:tc>
      </w:tr>
      <w:tr w:rsidR="00C91882" w:rsidRPr="009700C3" w14:paraId="4C5628B2" w14:textId="77777777" w:rsidTr="000B2E7B">
        <w:tc>
          <w:tcPr>
            <w:tcW w:w="1222" w:type="pct"/>
            <w:shd w:val="clear" w:color="auto" w:fill="auto"/>
          </w:tcPr>
          <w:p w14:paraId="54385D1E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 xml:space="preserve">Тяжелое нарушение функции почек  </w:t>
            </w:r>
          </w:p>
          <w:p w14:paraId="11593226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(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CrCl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> </w:t>
            </w:r>
            <w:proofErr w:type="gramStart"/>
            <w:r w:rsidRPr="009700C3">
              <w:rPr>
                <w:rFonts w:eastAsia="Calibri"/>
                <w:szCs w:val="24"/>
                <w:lang w:eastAsia="en-US" w:bidi="ar-IQ"/>
              </w:rPr>
              <w:t>&lt; 30</w:t>
            </w:r>
            <w:proofErr w:type="gramEnd"/>
            <w:r w:rsidRPr="009700C3">
              <w:rPr>
                <w:rFonts w:eastAsia="Calibri"/>
                <w:szCs w:val="24"/>
                <w:lang w:eastAsia="en-US" w:bidi="ar-IQ"/>
              </w:rPr>
              <w:t> мл/мин) и пациенты на гемодиализе</w:t>
            </w:r>
          </w:p>
        </w:tc>
        <w:tc>
          <w:tcPr>
            <w:tcW w:w="1889" w:type="pct"/>
          </w:tcPr>
          <w:p w14:paraId="25E5A503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 xml:space="preserve">Препарат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Эмтрицитабин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и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тенофовира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дизопроксила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</w:t>
            </w:r>
            <w:proofErr w:type="spellStart"/>
            <w:r w:rsidRPr="009700C3">
              <w:rPr>
                <w:rFonts w:eastAsia="Calibri"/>
                <w:szCs w:val="24"/>
                <w:lang w:eastAsia="en-US" w:bidi="ar-IQ"/>
              </w:rPr>
              <w:t>фумарат</w:t>
            </w:r>
            <w:proofErr w:type="spellEnd"/>
            <w:r w:rsidRPr="009700C3">
              <w:rPr>
                <w:rFonts w:eastAsia="Calibri"/>
                <w:szCs w:val="24"/>
                <w:lang w:eastAsia="en-US" w:bidi="ar-IQ"/>
              </w:rPr>
              <w:t xml:space="preserve"> не рекомендуется из-за невозможности достижения правильного снижения дозы при использовании комбинированных таблеток.</w:t>
            </w:r>
          </w:p>
        </w:tc>
        <w:tc>
          <w:tcPr>
            <w:tcW w:w="1889" w:type="pct"/>
            <w:shd w:val="clear" w:color="auto" w:fill="auto"/>
          </w:tcPr>
          <w:p w14:paraId="75F82952" w14:textId="77777777" w:rsidR="00C91882" w:rsidRPr="009700C3" w:rsidRDefault="00C91882" w:rsidP="00C918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 w:bidi="ar-IQ"/>
              </w:rPr>
            </w:pPr>
            <w:r w:rsidRPr="009700C3">
              <w:rPr>
                <w:rFonts w:eastAsia="Calibri"/>
                <w:szCs w:val="24"/>
                <w:lang w:eastAsia="en-US" w:bidi="ar-IQ"/>
              </w:rPr>
              <w:t>Не рекомендуется к использованию у этой группы пациентов.</w:t>
            </w:r>
          </w:p>
        </w:tc>
      </w:tr>
    </w:tbl>
    <w:p w14:paraId="206422E3" w14:textId="77777777" w:rsidR="00C91882" w:rsidRPr="00C91882" w:rsidRDefault="00C91882" w:rsidP="00C918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 w:bidi="ar-IQ"/>
        </w:rPr>
      </w:pPr>
      <w:r w:rsidRPr="00C91882">
        <w:rPr>
          <w:rFonts w:eastAsia="Calibri"/>
          <w:i/>
          <w:iCs/>
          <w:sz w:val="28"/>
          <w:szCs w:val="28"/>
          <w:lang w:eastAsia="en-US" w:bidi="ar-IQ"/>
        </w:rPr>
        <w:t>Печеночная недостаточность.</w:t>
      </w:r>
      <w:r w:rsidRPr="00C91882">
        <w:rPr>
          <w:rFonts w:eastAsia="Calibri"/>
          <w:sz w:val="28"/>
          <w:szCs w:val="28"/>
          <w:lang w:eastAsia="en-US" w:bidi="ar-IQ"/>
        </w:rPr>
        <w:t xml:space="preserve"> Пациентам с нарушением функции печени коррекция дозы не требуется.</w:t>
      </w:r>
    </w:p>
    <w:p w14:paraId="3C9B195C" w14:textId="77777777" w:rsidR="009B151E" w:rsidRPr="005E58B9" w:rsidRDefault="005F4535" w:rsidP="009B15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Метод и путь введения</w:t>
      </w:r>
    </w:p>
    <w:p w14:paraId="2528AF6C" w14:textId="77777777" w:rsidR="004006D5" w:rsidRPr="004006D5" w:rsidRDefault="004006D5" w:rsidP="004006D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4006D5">
        <w:rPr>
          <w:color w:val="000000"/>
          <w:spacing w:val="-1"/>
          <w:sz w:val="28"/>
          <w:szCs w:val="28"/>
        </w:rPr>
        <w:t xml:space="preserve">Для приема внутрь. Препарат </w:t>
      </w:r>
      <w:proofErr w:type="spellStart"/>
      <w:r w:rsidRPr="004006D5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4006D5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4006D5">
        <w:rPr>
          <w:color w:val="000000"/>
          <w:spacing w:val="-1"/>
          <w:sz w:val="28"/>
          <w:szCs w:val="28"/>
        </w:rPr>
        <w:t>тенофовир</w:t>
      </w:r>
      <w:r w:rsidR="00B01B39">
        <w:rPr>
          <w:color w:val="000000"/>
          <w:spacing w:val="-1"/>
          <w:sz w:val="28"/>
          <w:szCs w:val="28"/>
        </w:rPr>
        <w:t>а</w:t>
      </w:r>
      <w:proofErr w:type="spellEnd"/>
      <w:r w:rsidR="00B01B3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B01B39">
        <w:rPr>
          <w:color w:val="000000"/>
          <w:spacing w:val="-1"/>
          <w:sz w:val="28"/>
          <w:szCs w:val="28"/>
        </w:rPr>
        <w:t>дизопроксила</w:t>
      </w:r>
      <w:proofErr w:type="spellEnd"/>
      <w:r w:rsidR="00B01B3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B01B39">
        <w:rPr>
          <w:color w:val="000000"/>
          <w:spacing w:val="-1"/>
          <w:sz w:val="28"/>
          <w:szCs w:val="28"/>
        </w:rPr>
        <w:t>фумарат</w:t>
      </w:r>
      <w:proofErr w:type="spellEnd"/>
      <w:r w:rsidRPr="004006D5">
        <w:rPr>
          <w:color w:val="000000"/>
          <w:spacing w:val="-1"/>
          <w:sz w:val="28"/>
          <w:szCs w:val="28"/>
        </w:rPr>
        <w:t xml:space="preserve"> желательно принимать с едой. </w:t>
      </w:r>
    </w:p>
    <w:p w14:paraId="24DE8346" w14:textId="77777777" w:rsidR="004006D5" w:rsidRPr="00407ACE" w:rsidRDefault="004006D5" w:rsidP="004006D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4006D5">
        <w:rPr>
          <w:color w:val="000000"/>
          <w:spacing w:val="-1"/>
          <w:sz w:val="28"/>
          <w:szCs w:val="28"/>
        </w:rPr>
        <w:t xml:space="preserve">Таблетку препарата </w:t>
      </w:r>
      <w:proofErr w:type="spellStart"/>
      <w:r w:rsidRPr="004006D5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4006D5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4006D5">
        <w:rPr>
          <w:color w:val="000000"/>
          <w:spacing w:val="-1"/>
          <w:sz w:val="28"/>
          <w:szCs w:val="28"/>
        </w:rPr>
        <w:t>тенофовир</w:t>
      </w:r>
      <w:r w:rsidR="00B01B39">
        <w:rPr>
          <w:color w:val="000000"/>
          <w:spacing w:val="-1"/>
          <w:sz w:val="28"/>
          <w:szCs w:val="28"/>
        </w:rPr>
        <w:t>а</w:t>
      </w:r>
      <w:proofErr w:type="spellEnd"/>
      <w:r w:rsidR="00B01B3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B01B39">
        <w:rPr>
          <w:color w:val="000000"/>
          <w:spacing w:val="-1"/>
          <w:sz w:val="28"/>
          <w:szCs w:val="28"/>
        </w:rPr>
        <w:t>дизопроксила</w:t>
      </w:r>
      <w:proofErr w:type="spellEnd"/>
      <w:r w:rsidR="00B01B39">
        <w:rPr>
          <w:color w:val="000000"/>
          <w:spacing w:val="-1"/>
          <w:sz w:val="28"/>
          <w:szCs w:val="28"/>
        </w:rPr>
        <w:t xml:space="preserve"> </w:t>
      </w:r>
      <w:proofErr w:type="spellStart"/>
      <w:r w:rsidR="00B01B39">
        <w:rPr>
          <w:color w:val="000000"/>
          <w:spacing w:val="-1"/>
          <w:sz w:val="28"/>
          <w:szCs w:val="28"/>
        </w:rPr>
        <w:t>фумарат</w:t>
      </w:r>
      <w:proofErr w:type="spellEnd"/>
      <w:r w:rsidRPr="004006D5">
        <w:rPr>
          <w:color w:val="000000"/>
          <w:spacing w:val="-1"/>
          <w:sz w:val="28"/>
          <w:szCs w:val="28"/>
        </w:rPr>
        <w:t xml:space="preserve"> можно принять сразу после растворения ее в приблизительно 100 мл воды, апельсинового или виноградного сока.</w:t>
      </w:r>
    </w:p>
    <w:p w14:paraId="075EE163" w14:textId="77777777" w:rsidR="00FC6FF0" w:rsidRPr="00FC6FF0" w:rsidRDefault="00FC6FF0" w:rsidP="00FC6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1"/>
          <w:sz w:val="28"/>
          <w:szCs w:val="28"/>
        </w:rPr>
      </w:pPr>
      <w:r w:rsidRPr="00FC6FF0">
        <w:rPr>
          <w:b/>
          <w:i/>
          <w:color w:val="000000"/>
          <w:spacing w:val="-1"/>
          <w:sz w:val="28"/>
          <w:szCs w:val="28"/>
        </w:rPr>
        <w:t>Меры, необходимые при пропуске одной или нескольких доз лекарственного препарата</w:t>
      </w:r>
      <w:r w:rsidRPr="00FC6FF0">
        <w:rPr>
          <w:i/>
          <w:color w:val="000000"/>
          <w:spacing w:val="-1"/>
          <w:sz w:val="28"/>
          <w:szCs w:val="28"/>
        </w:rPr>
        <w:t xml:space="preserve"> </w:t>
      </w:r>
    </w:p>
    <w:p w14:paraId="5DF934FB" w14:textId="77777777" w:rsidR="00FC6FF0" w:rsidRPr="00FC6FF0" w:rsidRDefault="00FC6FF0" w:rsidP="00FC6FF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FC6FF0">
        <w:rPr>
          <w:color w:val="000000"/>
          <w:spacing w:val="-1"/>
          <w:sz w:val="28"/>
          <w:szCs w:val="28"/>
        </w:rPr>
        <w:t xml:space="preserve">Если доза препарата </w:t>
      </w:r>
      <w:proofErr w:type="spellStart"/>
      <w:r w:rsidRPr="00FC6FF0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FC6FF0">
        <w:rPr>
          <w:color w:val="000000"/>
          <w:spacing w:val="-1"/>
          <w:sz w:val="28"/>
          <w:szCs w:val="28"/>
        </w:rPr>
        <w:t>тенофовира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дизопроксила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фумарат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r w:rsidRPr="00FC6FF0">
        <w:rPr>
          <w:color w:val="000000"/>
          <w:spacing w:val="-1"/>
          <w:sz w:val="28"/>
          <w:szCs w:val="28"/>
        </w:rPr>
        <w:lastRenderedPageBreak/>
        <w:t xml:space="preserve">пропущена и со времени обычного приема прошло менее 12 часов, следует как можно скорее принять препарат </w:t>
      </w:r>
      <w:proofErr w:type="spellStart"/>
      <w:r w:rsidRPr="00FC6FF0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FC6FF0">
        <w:rPr>
          <w:color w:val="000000"/>
          <w:spacing w:val="-1"/>
          <w:sz w:val="28"/>
          <w:szCs w:val="28"/>
        </w:rPr>
        <w:t>тенофовира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дизопроксила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фумарат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с пищей и возобновить прием по обычному расписанию. Если доза препарата </w:t>
      </w:r>
      <w:proofErr w:type="spellStart"/>
      <w:r w:rsidRPr="00FC6FF0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FC6FF0">
        <w:rPr>
          <w:color w:val="000000"/>
          <w:spacing w:val="-1"/>
          <w:sz w:val="28"/>
          <w:szCs w:val="28"/>
        </w:rPr>
        <w:t>тенофовира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дизопроксила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фумарат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пропущена, с момента должного приема прошло более 12 часов и приблизилось время приема следующей дозы, следует не принимать пропущенную дозу и просто возобновить прием по обычному расписанию.</w:t>
      </w:r>
    </w:p>
    <w:p w14:paraId="3C726CDB" w14:textId="77777777" w:rsidR="00FC6FF0" w:rsidRPr="00FC6FF0" w:rsidRDefault="00FC6FF0" w:rsidP="004006D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FC6FF0">
        <w:rPr>
          <w:color w:val="000000"/>
          <w:spacing w:val="-1"/>
          <w:sz w:val="28"/>
          <w:szCs w:val="28"/>
        </w:rPr>
        <w:t xml:space="preserve">Если в течение 1 часа после приема препарата </w:t>
      </w:r>
      <w:proofErr w:type="spellStart"/>
      <w:r w:rsidRPr="00FC6FF0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FC6FF0">
        <w:rPr>
          <w:color w:val="000000"/>
          <w:spacing w:val="-1"/>
          <w:sz w:val="28"/>
          <w:szCs w:val="28"/>
        </w:rPr>
        <w:t>тенофовира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дизопроксила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фумарат</w:t>
      </w:r>
      <w:proofErr w:type="spellEnd"/>
      <w:r w:rsidRPr="00FC6FF0">
        <w:rPr>
          <w:color w:val="000000"/>
          <w:spacing w:val="-1"/>
          <w:sz w:val="28"/>
          <w:szCs w:val="28"/>
          <w:vertAlign w:val="superscript"/>
        </w:rPr>
        <w:t xml:space="preserve"> </w:t>
      </w:r>
      <w:r w:rsidRPr="00FC6FF0">
        <w:rPr>
          <w:color w:val="000000"/>
          <w:spacing w:val="-1"/>
          <w:sz w:val="28"/>
          <w:szCs w:val="28"/>
        </w:rPr>
        <w:t xml:space="preserve">возникла рвота, следует принять другую таблетку. Если рвота возникла более чем через 1 час после приема препарата </w:t>
      </w:r>
      <w:proofErr w:type="spellStart"/>
      <w:r w:rsidRPr="00FC6FF0">
        <w:rPr>
          <w:color w:val="000000"/>
          <w:spacing w:val="-1"/>
          <w:sz w:val="28"/>
          <w:szCs w:val="28"/>
        </w:rPr>
        <w:t>Эмтрицитабин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и </w:t>
      </w:r>
      <w:proofErr w:type="spellStart"/>
      <w:r w:rsidRPr="00FC6FF0">
        <w:rPr>
          <w:color w:val="000000"/>
          <w:spacing w:val="-1"/>
          <w:sz w:val="28"/>
          <w:szCs w:val="28"/>
        </w:rPr>
        <w:t>тенофовира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дизопроксила</w:t>
      </w:r>
      <w:proofErr w:type="spellEnd"/>
      <w:r w:rsidRPr="00FC6FF0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FC6FF0">
        <w:rPr>
          <w:color w:val="000000"/>
          <w:spacing w:val="-1"/>
          <w:sz w:val="28"/>
          <w:szCs w:val="28"/>
        </w:rPr>
        <w:t>фумарат</w:t>
      </w:r>
      <w:proofErr w:type="spellEnd"/>
      <w:r w:rsidRPr="00FC6FF0">
        <w:rPr>
          <w:color w:val="000000"/>
          <w:spacing w:val="-1"/>
          <w:sz w:val="28"/>
          <w:szCs w:val="28"/>
        </w:rPr>
        <w:t>, вторую дозу принимать не следует.</w:t>
      </w:r>
    </w:p>
    <w:p w14:paraId="0CC6E813" w14:textId="77777777" w:rsidR="00B11AC3" w:rsidRDefault="008E063D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E063D">
        <w:rPr>
          <w:b/>
          <w:bCs/>
          <w:i/>
          <w:color w:val="000000"/>
          <w:spacing w:val="-3"/>
          <w:sz w:val="28"/>
          <w:szCs w:val="28"/>
        </w:rPr>
        <w:t>Меры, которые необходимо принять в случае передозировки</w:t>
      </w:r>
    </w:p>
    <w:p w14:paraId="45C1E490" w14:textId="77777777" w:rsidR="003E0B4A" w:rsidRPr="003E0B4A" w:rsidRDefault="003E0B4A" w:rsidP="003E0B4A">
      <w:pPr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i/>
          <w:spacing w:val="-1"/>
          <w:sz w:val="28"/>
          <w:szCs w:val="28"/>
          <w:lang w:eastAsia="en-US"/>
        </w:rPr>
        <w:t>Симптомы:</w:t>
      </w:r>
      <w:r w:rsidR="004006D5" w:rsidRPr="004006D5">
        <w:rPr>
          <w:rFonts w:eastAsia="Calibri"/>
          <w:spacing w:val="-1"/>
          <w:sz w:val="28"/>
          <w:szCs w:val="28"/>
          <w:lang w:eastAsia="en-US"/>
        </w:rPr>
        <w:t xml:space="preserve"> </w:t>
      </w:r>
      <w:bookmarkStart w:id="0" w:name="2175220282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в случае передозировки пациент должен находиться под наблюдением относительно признаков токсичности. </w:t>
      </w:r>
    </w:p>
    <w:p w14:paraId="3A6A42FA" w14:textId="77777777" w:rsidR="003E0B4A" w:rsidRPr="00407ACE" w:rsidRDefault="003E0B4A" w:rsidP="003E0B4A">
      <w:pPr>
        <w:jc w:val="both"/>
        <w:rPr>
          <w:rFonts w:eastAsia="Calibri"/>
          <w:spacing w:val="-1"/>
          <w:sz w:val="28"/>
          <w:szCs w:val="28"/>
          <w:lang w:eastAsia="en-US"/>
        </w:rPr>
      </w:pPr>
      <w:r w:rsidRPr="003E0B4A">
        <w:rPr>
          <w:rFonts w:eastAsia="Calibri"/>
          <w:i/>
          <w:spacing w:val="-1"/>
          <w:sz w:val="28"/>
          <w:szCs w:val="28"/>
          <w:lang w:eastAsia="en-US"/>
        </w:rPr>
        <w:t>Лечение:</w:t>
      </w:r>
      <w:r w:rsidRPr="003E0B4A">
        <w:rPr>
          <w:rFonts w:eastAsia="Calibri"/>
          <w:spacing w:val="-1"/>
          <w:sz w:val="28"/>
          <w:szCs w:val="28"/>
          <w:lang w:eastAsia="en-US"/>
        </w:rPr>
        <w:t xml:space="preserve"> при необходимости следует применять стандартную поддерживающую терапию. До 30 % дозы </w:t>
      </w:r>
      <w:proofErr w:type="spellStart"/>
      <w:r w:rsidRPr="003E0B4A">
        <w:rPr>
          <w:rFonts w:eastAsia="Calibri"/>
          <w:spacing w:val="-1"/>
          <w:sz w:val="28"/>
          <w:szCs w:val="28"/>
          <w:lang w:eastAsia="en-US"/>
        </w:rPr>
        <w:t>эмтрицитабина</w:t>
      </w:r>
      <w:proofErr w:type="spellEnd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 и приблизительно 10 % дозы </w:t>
      </w:r>
      <w:proofErr w:type="spellStart"/>
      <w:r w:rsidRPr="003E0B4A">
        <w:rPr>
          <w:rFonts w:eastAsia="Calibri"/>
          <w:spacing w:val="-1"/>
          <w:sz w:val="28"/>
          <w:szCs w:val="28"/>
          <w:lang w:eastAsia="en-US"/>
        </w:rPr>
        <w:t>тенофовира</w:t>
      </w:r>
      <w:proofErr w:type="spellEnd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 может выводиться с помощью гемодиализа. Неизвестно, выводятся ли </w:t>
      </w:r>
      <w:proofErr w:type="spellStart"/>
      <w:r w:rsidRPr="003E0B4A">
        <w:rPr>
          <w:rFonts w:eastAsia="Calibri"/>
          <w:spacing w:val="-1"/>
          <w:sz w:val="28"/>
          <w:szCs w:val="28"/>
          <w:lang w:eastAsia="en-US"/>
        </w:rPr>
        <w:t>эмтрицитабин</w:t>
      </w:r>
      <w:proofErr w:type="spellEnd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 и </w:t>
      </w:r>
      <w:proofErr w:type="spellStart"/>
      <w:r w:rsidRPr="003E0B4A">
        <w:rPr>
          <w:rFonts w:eastAsia="Calibri"/>
          <w:spacing w:val="-1"/>
          <w:sz w:val="28"/>
          <w:szCs w:val="28"/>
          <w:lang w:eastAsia="en-US"/>
        </w:rPr>
        <w:t>тенофовир</w:t>
      </w:r>
      <w:proofErr w:type="spellEnd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 с помощью </w:t>
      </w:r>
      <w:proofErr w:type="spellStart"/>
      <w:r w:rsidRPr="003E0B4A">
        <w:rPr>
          <w:rFonts w:eastAsia="Calibri"/>
          <w:spacing w:val="-1"/>
          <w:sz w:val="28"/>
          <w:szCs w:val="28"/>
          <w:lang w:eastAsia="en-US"/>
        </w:rPr>
        <w:t>перитонеального</w:t>
      </w:r>
      <w:proofErr w:type="spellEnd"/>
      <w:r w:rsidRPr="003E0B4A">
        <w:rPr>
          <w:rFonts w:eastAsia="Calibri"/>
          <w:spacing w:val="-1"/>
          <w:sz w:val="28"/>
          <w:szCs w:val="28"/>
          <w:lang w:eastAsia="en-US"/>
        </w:rPr>
        <w:t xml:space="preserve"> диализа.</w:t>
      </w:r>
    </w:p>
    <w:p w14:paraId="1998426B" w14:textId="77777777" w:rsidR="007516BF" w:rsidRPr="00737D22" w:rsidRDefault="007516BF" w:rsidP="007516BF">
      <w:pPr>
        <w:jc w:val="both"/>
        <w:rPr>
          <w:rFonts w:eastAsia="Calibri"/>
          <w:b/>
          <w:i/>
          <w:spacing w:val="-1"/>
          <w:sz w:val="28"/>
          <w:szCs w:val="28"/>
          <w:lang w:eastAsia="en-US"/>
        </w:rPr>
      </w:pPr>
      <w:r w:rsidRPr="00737D22">
        <w:rPr>
          <w:rFonts w:eastAsia="Calibri"/>
          <w:b/>
          <w:i/>
          <w:spacing w:val="-1"/>
          <w:sz w:val="28"/>
          <w:szCs w:val="28"/>
          <w:lang w:eastAsia="en-US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0138D54C" w14:textId="77777777" w:rsidR="007516BF" w:rsidRPr="00B54D6D" w:rsidRDefault="00B54D6D" w:rsidP="003E0B4A">
      <w:pPr>
        <w:jc w:val="both"/>
        <w:rPr>
          <w:rFonts w:eastAsia="Calibri"/>
          <w:spacing w:val="-1"/>
          <w:sz w:val="28"/>
          <w:szCs w:val="28"/>
          <w:lang w:eastAsia="en-US"/>
        </w:rPr>
      </w:pPr>
      <w:r w:rsidRPr="00737D22">
        <w:rPr>
          <w:rFonts w:eastAsia="Calibri"/>
          <w:spacing w:val="-1"/>
          <w:sz w:val="28"/>
          <w:szCs w:val="28"/>
          <w:lang w:eastAsia="en-US"/>
        </w:rPr>
        <w:t>В случае возникновения вопросов, относительно способа применения лекарственного препарата</w:t>
      </w:r>
      <w:r w:rsidR="009B7998" w:rsidRPr="00737D22">
        <w:rPr>
          <w:rFonts w:eastAsia="Calibri"/>
          <w:spacing w:val="-1"/>
          <w:sz w:val="28"/>
          <w:szCs w:val="28"/>
          <w:lang w:eastAsia="en-US"/>
        </w:rPr>
        <w:t xml:space="preserve"> </w:t>
      </w:r>
      <w:proofErr w:type="spellStart"/>
      <w:r w:rsidR="009B7998" w:rsidRPr="00737D22">
        <w:rPr>
          <w:rFonts w:eastAsia="Calibri"/>
          <w:spacing w:val="-1"/>
          <w:sz w:val="28"/>
          <w:szCs w:val="28"/>
          <w:lang w:eastAsia="en-US"/>
        </w:rPr>
        <w:t>Эмтрицитабин</w:t>
      </w:r>
      <w:proofErr w:type="spellEnd"/>
      <w:r w:rsidR="009B7998" w:rsidRPr="00737D22">
        <w:rPr>
          <w:rFonts w:eastAsia="Calibri"/>
          <w:spacing w:val="-1"/>
          <w:sz w:val="28"/>
          <w:szCs w:val="28"/>
          <w:lang w:eastAsia="en-US"/>
        </w:rPr>
        <w:t xml:space="preserve"> и </w:t>
      </w:r>
      <w:proofErr w:type="spellStart"/>
      <w:r w:rsidR="009B7998" w:rsidRPr="00737D22">
        <w:rPr>
          <w:rFonts w:eastAsia="Calibri"/>
          <w:spacing w:val="-1"/>
          <w:sz w:val="28"/>
          <w:szCs w:val="28"/>
          <w:lang w:eastAsia="en-US"/>
        </w:rPr>
        <w:t>тенофовира</w:t>
      </w:r>
      <w:proofErr w:type="spellEnd"/>
      <w:r w:rsidR="009B7998" w:rsidRPr="00737D22">
        <w:rPr>
          <w:rFonts w:eastAsia="Calibri"/>
          <w:spacing w:val="-1"/>
          <w:sz w:val="28"/>
          <w:szCs w:val="28"/>
          <w:lang w:eastAsia="en-US"/>
        </w:rPr>
        <w:t xml:space="preserve"> </w:t>
      </w:r>
      <w:proofErr w:type="spellStart"/>
      <w:r w:rsidR="009B7998" w:rsidRPr="00737D22">
        <w:rPr>
          <w:rFonts w:eastAsia="Calibri"/>
          <w:spacing w:val="-1"/>
          <w:sz w:val="28"/>
          <w:szCs w:val="28"/>
          <w:lang w:eastAsia="en-US"/>
        </w:rPr>
        <w:t>дизопро</w:t>
      </w:r>
      <w:r w:rsidRPr="00737D22">
        <w:rPr>
          <w:rFonts w:eastAsia="Calibri"/>
          <w:spacing w:val="-1"/>
          <w:sz w:val="28"/>
          <w:szCs w:val="28"/>
          <w:lang w:eastAsia="en-US"/>
        </w:rPr>
        <w:t>ксила</w:t>
      </w:r>
      <w:proofErr w:type="spellEnd"/>
      <w:r w:rsidRPr="00737D22">
        <w:rPr>
          <w:rFonts w:eastAsia="Calibri"/>
          <w:spacing w:val="-1"/>
          <w:sz w:val="28"/>
          <w:szCs w:val="28"/>
          <w:lang w:eastAsia="en-US"/>
        </w:rPr>
        <w:t xml:space="preserve"> </w:t>
      </w:r>
      <w:proofErr w:type="spellStart"/>
      <w:r w:rsidRPr="00737D22">
        <w:rPr>
          <w:rFonts w:eastAsia="Calibri"/>
          <w:spacing w:val="-1"/>
          <w:sz w:val="28"/>
          <w:szCs w:val="28"/>
          <w:lang w:eastAsia="en-US"/>
        </w:rPr>
        <w:t>фумарат</w:t>
      </w:r>
      <w:proofErr w:type="spellEnd"/>
      <w:r w:rsidRPr="00737D22">
        <w:rPr>
          <w:rFonts w:eastAsia="Calibri"/>
          <w:spacing w:val="-1"/>
          <w:sz w:val="28"/>
          <w:szCs w:val="28"/>
          <w:lang w:eastAsia="en-US"/>
        </w:rPr>
        <w:t>, следует обратиться к специалисту</w:t>
      </w:r>
      <w:r w:rsidR="009B7998" w:rsidRPr="00737D22">
        <w:rPr>
          <w:rFonts w:eastAsia="Calibri"/>
          <w:spacing w:val="-1"/>
          <w:sz w:val="28"/>
          <w:szCs w:val="28"/>
          <w:lang w:eastAsia="en-US"/>
        </w:rPr>
        <w:t>, который имеет опыт в лечении ВИЧ-инфекции.</w:t>
      </w:r>
    </w:p>
    <w:p w14:paraId="7C5B7097" w14:textId="77777777" w:rsidR="009B7998" w:rsidRPr="00B54D6D" w:rsidRDefault="009B7998" w:rsidP="003E0B4A">
      <w:pPr>
        <w:jc w:val="both"/>
        <w:rPr>
          <w:rFonts w:eastAsia="Calibri"/>
          <w:spacing w:val="-1"/>
          <w:sz w:val="28"/>
          <w:szCs w:val="28"/>
          <w:lang w:eastAsia="en-US"/>
        </w:rPr>
      </w:pPr>
    </w:p>
    <w:p w14:paraId="5AFB4299" w14:textId="77777777" w:rsidR="00552A2D" w:rsidRPr="00552A2D" w:rsidRDefault="00552A2D" w:rsidP="003E0B4A">
      <w:pPr>
        <w:jc w:val="both"/>
        <w:rPr>
          <w:rFonts w:eastAsia="Calibri"/>
          <w:b/>
          <w:sz w:val="28"/>
          <w:szCs w:val="28"/>
          <w:lang w:eastAsia="en-US"/>
        </w:rPr>
      </w:pPr>
      <w:r w:rsidRPr="00552A2D">
        <w:rPr>
          <w:b/>
          <w:sz w:val="28"/>
          <w:szCs w:val="28"/>
        </w:rPr>
        <w:t xml:space="preserve">Описание нежелательных реакций, </w:t>
      </w:r>
      <w:r w:rsidRPr="00552A2D">
        <w:rPr>
          <w:rFonts w:eastAsia="Calibri"/>
          <w:b/>
          <w:color w:val="000000"/>
          <w:sz w:val="28"/>
          <w:szCs w:val="28"/>
          <w:lang w:eastAsia="en-US"/>
        </w:rPr>
        <w:t>которые проявляются при стандартном применении ЛП и меры, которые следует принять в этом случае (при необходимости)</w:t>
      </w:r>
    </w:p>
    <w:bookmarkEnd w:id="0"/>
    <w:p w14:paraId="7436C29E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u w:val="single"/>
          <w:lang w:eastAsia="en-GB"/>
        </w:rPr>
        <w:t>Эмтрицитабин</w:t>
      </w:r>
      <w:proofErr w:type="spellEnd"/>
    </w:p>
    <w:p w14:paraId="73D51BD6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Очень часто:</w:t>
      </w:r>
    </w:p>
    <w:p w14:paraId="5199C512" w14:textId="77777777" w:rsidR="00C03BA0" w:rsidRPr="00C03BA0" w:rsidRDefault="00C03BA0" w:rsidP="00C03BA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>Головная боль</w:t>
      </w:r>
    </w:p>
    <w:p w14:paraId="132A25C6" w14:textId="77777777" w:rsidR="00C03BA0" w:rsidRPr="00C03BA0" w:rsidRDefault="00C03BA0" w:rsidP="00C03BA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>Диарея, тошнота</w:t>
      </w:r>
    </w:p>
    <w:p w14:paraId="52F7D56D" w14:textId="77777777" w:rsidR="00C03BA0" w:rsidRPr="00C03BA0" w:rsidRDefault="00C03BA0" w:rsidP="00C03BA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 xml:space="preserve">Повышенный уровень </w:t>
      </w:r>
      <w:proofErr w:type="spellStart"/>
      <w:r w:rsidRPr="00C03BA0">
        <w:rPr>
          <w:sz w:val="28"/>
          <w:szCs w:val="28"/>
          <w:lang w:eastAsia="en-GB"/>
        </w:rPr>
        <w:t>креатинкиназы</w:t>
      </w:r>
      <w:proofErr w:type="spellEnd"/>
    </w:p>
    <w:p w14:paraId="08C38ECB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Часто:</w:t>
      </w:r>
    </w:p>
    <w:p w14:paraId="5149AD34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Нейтропения</w:t>
      </w:r>
      <w:proofErr w:type="spellEnd"/>
    </w:p>
    <w:p w14:paraId="12868B38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Аллергическая реакция</w:t>
      </w:r>
    </w:p>
    <w:p w14:paraId="4E97A954" w14:textId="77777777" w:rsidR="00C03BA0" w:rsidRPr="00C03BA0" w:rsidRDefault="0092643D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>
        <w:rPr>
          <w:sz w:val="28"/>
          <w:szCs w:val="28"/>
          <w:lang w:eastAsia="en-GB"/>
        </w:rPr>
        <w:t xml:space="preserve">Гипергликемия, </w:t>
      </w:r>
      <w:proofErr w:type="spellStart"/>
      <w:r>
        <w:rPr>
          <w:sz w:val="28"/>
          <w:szCs w:val="28"/>
          <w:lang w:eastAsia="en-GB"/>
        </w:rPr>
        <w:t>г</w:t>
      </w:r>
      <w:r w:rsidR="00C03BA0" w:rsidRPr="00C03BA0">
        <w:rPr>
          <w:sz w:val="28"/>
          <w:szCs w:val="28"/>
          <w:lang w:eastAsia="en-GB"/>
        </w:rPr>
        <w:t>ипертриглицеридемия</w:t>
      </w:r>
      <w:proofErr w:type="spellEnd"/>
    </w:p>
    <w:p w14:paraId="2B47C805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Бессонница, аномальные сновидения</w:t>
      </w:r>
    </w:p>
    <w:p w14:paraId="7BD12CBF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en-GB" w:eastAsia="en-GB"/>
        </w:rPr>
      </w:pPr>
      <w:r w:rsidRPr="00C03BA0">
        <w:rPr>
          <w:sz w:val="28"/>
          <w:szCs w:val="28"/>
          <w:lang w:eastAsia="en-GB"/>
        </w:rPr>
        <w:t>Головокружение</w:t>
      </w:r>
    </w:p>
    <w:p w14:paraId="22AE9FCA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lastRenderedPageBreak/>
        <w:t>Повышенный уровень амилазы, включая повышенный уровень панкреатической амилазы, повышенный уровень липазы сыворотки, рвота, боль в животе, диспепсия</w:t>
      </w:r>
    </w:p>
    <w:p w14:paraId="2034BA5D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 xml:space="preserve">Повышенный уровень </w:t>
      </w:r>
      <w:proofErr w:type="spellStart"/>
      <w:r w:rsidRPr="00C03BA0">
        <w:rPr>
          <w:sz w:val="28"/>
          <w:szCs w:val="28"/>
          <w:lang w:eastAsia="en-GB"/>
        </w:rPr>
        <w:t>аспартатаминотрансферазы</w:t>
      </w:r>
      <w:proofErr w:type="spellEnd"/>
      <w:r w:rsidRPr="00C03BA0">
        <w:rPr>
          <w:sz w:val="28"/>
          <w:szCs w:val="28"/>
          <w:lang w:eastAsia="en-GB"/>
        </w:rPr>
        <w:t xml:space="preserve"> (АСТ) в сыворотке и/или повышенный уровень аланинаминотрансферазы (АЛТ) в сыворотке, </w:t>
      </w:r>
      <w:proofErr w:type="spellStart"/>
      <w:r w:rsidRPr="00C03BA0">
        <w:rPr>
          <w:sz w:val="28"/>
          <w:szCs w:val="28"/>
          <w:lang w:eastAsia="en-GB"/>
        </w:rPr>
        <w:t>гипербилирубинемия</w:t>
      </w:r>
      <w:proofErr w:type="spellEnd"/>
    </w:p>
    <w:p w14:paraId="21DE3B2F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Везикулобуллезная</w:t>
      </w:r>
      <w:proofErr w:type="spellEnd"/>
      <w:r w:rsidRPr="00C03BA0">
        <w:rPr>
          <w:sz w:val="28"/>
          <w:szCs w:val="28"/>
          <w:lang w:eastAsia="en-GB"/>
        </w:rPr>
        <w:t xml:space="preserve"> сыпь, </w:t>
      </w:r>
      <w:proofErr w:type="spellStart"/>
      <w:r w:rsidRPr="00C03BA0">
        <w:rPr>
          <w:sz w:val="28"/>
          <w:szCs w:val="28"/>
          <w:lang w:eastAsia="en-GB"/>
        </w:rPr>
        <w:t>пустулярная</w:t>
      </w:r>
      <w:proofErr w:type="spellEnd"/>
      <w:r w:rsidRPr="00C03BA0">
        <w:rPr>
          <w:sz w:val="28"/>
          <w:szCs w:val="28"/>
          <w:lang w:eastAsia="en-GB"/>
        </w:rPr>
        <w:t xml:space="preserve"> сыпь, </w:t>
      </w:r>
      <w:proofErr w:type="spellStart"/>
      <w:r w:rsidRPr="00C03BA0">
        <w:rPr>
          <w:sz w:val="28"/>
          <w:szCs w:val="28"/>
          <w:lang w:eastAsia="en-GB"/>
        </w:rPr>
        <w:t>макулопапулезная</w:t>
      </w:r>
      <w:proofErr w:type="spellEnd"/>
      <w:r w:rsidRPr="00C03BA0">
        <w:rPr>
          <w:sz w:val="28"/>
          <w:szCs w:val="28"/>
          <w:lang w:eastAsia="en-GB"/>
        </w:rPr>
        <w:t xml:space="preserve"> сыпь, сыпь, зуд, </w:t>
      </w:r>
      <w:proofErr w:type="spellStart"/>
      <w:r w:rsidRPr="00C03BA0">
        <w:rPr>
          <w:sz w:val="28"/>
          <w:szCs w:val="28"/>
          <w:lang w:eastAsia="en-GB"/>
        </w:rPr>
        <w:t>уртикарная</w:t>
      </w:r>
      <w:proofErr w:type="spellEnd"/>
      <w:r w:rsidRPr="00C03BA0">
        <w:rPr>
          <w:sz w:val="28"/>
          <w:szCs w:val="28"/>
          <w:lang w:eastAsia="en-GB"/>
        </w:rPr>
        <w:t xml:space="preserve"> сыпь, нарушение пигментации кожи (усиленная пигментация)</w:t>
      </w:r>
    </w:p>
    <w:p w14:paraId="659132CB" w14:textId="77777777" w:rsidR="00C03BA0" w:rsidRPr="00C03BA0" w:rsidRDefault="00C03BA0" w:rsidP="00C03BA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>Боль, астения</w:t>
      </w:r>
    </w:p>
    <w:p w14:paraId="0E5682D8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Нечасто:</w:t>
      </w:r>
    </w:p>
    <w:p w14:paraId="27E65DEE" w14:textId="77777777" w:rsidR="00C03BA0" w:rsidRPr="00C03BA0" w:rsidRDefault="00C03BA0" w:rsidP="00C03B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>Анемия</w:t>
      </w:r>
    </w:p>
    <w:p w14:paraId="4BAE358C" w14:textId="77777777" w:rsidR="00C03BA0" w:rsidRPr="00417A87" w:rsidRDefault="00C03BA0" w:rsidP="00C03B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  <w:lang w:eastAsia="en-GB"/>
        </w:rPr>
      </w:pPr>
      <w:r w:rsidRPr="00C03BA0">
        <w:rPr>
          <w:sz w:val="28"/>
          <w:szCs w:val="28"/>
          <w:lang w:eastAsia="en-GB"/>
        </w:rPr>
        <w:t>Ангионевротический отек</w:t>
      </w:r>
    </w:p>
    <w:p w14:paraId="75491DA3" w14:textId="77777777" w:rsidR="0092643D" w:rsidRDefault="0092643D" w:rsidP="00C03BA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</w:p>
    <w:p w14:paraId="1102F7FE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u w:val="single"/>
          <w:lang w:eastAsia="en-GB"/>
        </w:rPr>
        <w:t>Тенофовира</w:t>
      </w:r>
      <w:proofErr w:type="spellEnd"/>
      <w:r w:rsidRPr="00C03BA0">
        <w:rPr>
          <w:sz w:val="28"/>
          <w:szCs w:val="28"/>
          <w:u w:val="single"/>
          <w:lang w:eastAsia="en-GB"/>
        </w:rPr>
        <w:t xml:space="preserve"> </w:t>
      </w:r>
      <w:proofErr w:type="spellStart"/>
      <w:r w:rsidRPr="00C03BA0">
        <w:rPr>
          <w:sz w:val="28"/>
          <w:szCs w:val="28"/>
          <w:u w:val="single"/>
          <w:lang w:eastAsia="en-GB"/>
        </w:rPr>
        <w:t>дизопроксила</w:t>
      </w:r>
      <w:proofErr w:type="spellEnd"/>
      <w:r w:rsidRPr="00C03BA0">
        <w:rPr>
          <w:sz w:val="28"/>
          <w:szCs w:val="28"/>
          <w:u w:val="single"/>
          <w:lang w:eastAsia="en-GB"/>
        </w:rPr>
        <w:t xml:space="preserve"> </w:t>
      </w:r>
      <w:proofErr w:type="spellStart"/>
      <w:r w:rsidRPr="00C03BA0">
        <w:rPr>
          <w:sz w:val="28"/>
          <w:szCs w:val="28"/>
          <w:u w:val="single"/>
          <w:lang w:eastAsia="en-GB"/>
        </w:rPr>
        <w:t>фумарат</w:t>
      </w:r>
      <w:proofErr w:type="spellEnd"/>
    </w:p>
    <w:p w14:paraId="39F095D4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Очень часто:</w:t>
      </w:r>
    </w:p>
    <w:p w14:paraId="5DB0B597" w14:textId="77777777" w:rsidR="00C03BA0" w:rsidRPr="00C03BA0" w:rsidRDefault="00C03BA0" w:rsidP="00C03B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Гипофосфатемия</w:t>
      </w:r>
      <w:proofErr w:type="spellEnd"/>
    </w:p>
    <w:p w14:paraId="5F3337F2" w14:textId="77777777" w:rsidR="00C03BA0" w:rsidRPr="00C03BA0" w:rsidRDefault="00C03BA0" w:rsidP="00C03B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Головокружение</w:t>
      </w:r>
    </w:p>
    <w:p w14:paraId="4AF633CD" w14:textId="77777777" w:rsidR="00C03BA0" w:rsidRPr="00C03BA0" w:rsidRDefault="00C03BA0" w:rsidP="00C03B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Диарея, рвота, тошнота</w:t>
      </w:r>
    </w:p>
    <w:p w14:paraId="622E2719" w14:textId="77777777" w:rsidR="00C03BA0" w:rsidRPr="00C03BA0" w:rsidRDefault="00C03BA0" w:rsidP="00C03B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Сыпь</w:t>
      </w:r>
    </w:p>
    <w:p w14:paraId="1F9ECBF1" w14:textId="77777777" w:rsidR="00C03BA0" w:rsidRPr="00C03BA0" w:rsidRDefault="00C03BA0" w:rsidP="00C03B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Астения</w:t>
      </w:r>
    </w:p>
    <w:p w14:paraId="2A029892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Часто:</w:t>
      </w:r>
    </w:p>
    <w:p w14:paraId="40A3DF79" w14:textId="77777777" w:rsidR="00C03BA0" w:rsidRPr="00C03BA0" w:rsidRDefault="00C03BA0" w:rsidP="00C03BA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Головная боль</w:t>
      </w:r>
    </w:p>
    <w:p w14:paraId="69C0F4E7" w14:textId="77777777" w:rsidR="00C03BA0" w:rsidRPr="00C03BA0" w:rsidRDefault="00C03BA0" w:rsidP="00C03BA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Боль в животе, вздутие живота, метеоризм</w:t>
      </w:r>
    </w:p>
    <w:p w14:paraId="2A803ADB" w14:textId="77777777" w:rsidR="00C03BA0" w:rsidRPr="00C03BA0" w:rsidRDefault="00C03BA0" w:rsidP="00C03BA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Повышенный уровень трансаминазы</w:t>
      </w:r>
    </w:p>
    <w:p w14:paraId="145E9D7B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Нечасто:</w:t>
      </w:r>
    </w:p>
    <w:p w14:paraId="0CCC3AD3" w14:textId="77777777" w:rsidR="00C03BA0" w:rsidRPr="00C03BA0" w:rsidRDefault="00C03BA0" w:rsidP="00C03BA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Гипокалиемия</w:t>
      </w:r>
      <w:proofErr w:type="spellEnd"/>
    </w:p>
    <w:p w14:paraId="11F95A8A" w14:textId="77777777" w:rsidR="00C03BA0" w:rsidRPr="00C03BA0" w:rsidRDefault="00C03BA0" w:rsidP="00C03BA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Панкреатит</w:t>
      </w:r>
    </w:p>
    <w:p w14:paraId="26132837" w14:textId="77777777" w:rsidR="00C03BA0" w:rsidRPr="00C03BA0" w:rsidRDefault="00C03BA0" w:rsidP="00C03BA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Рабдомиолиз</w:t>
      </w:r>
      <w:proofErr w:type="spellEnd"/>
      <w:r w:rsidRPr="00C03BA0">
        <w:rPr>
          <w:sz w:val="28"/>
          <w:szCs w:val="28"/>
          <w:lang w:eastAsia="en-GB"/>
        </w:rPr>
        <w:t>, мышечная слабость</w:t>
      </w:r>
    </w:p>
    <w:p w14:paraId="47FA95C7" w14:textId="77777777" w:rsidR="00C03BA0" w:rsidRPr="00C03BA0" w:rsidRDefault="00C03BA0" w:rsidP="00C03BA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 xml:space="preserve">Повышение уровня креатинина, протеинурия, проксимальная почечная </w:t>
      </w:r>
      <w:proofErr w:type="spellStart"/>
      <w:r w:rsidRPr="00C03BA0">
        <w:rPr>
          <w:sz w:val="28"/>
          <w:szCs w:val="28"/>
          <w:lang w:eastAsia="en-GB"/>
        </w:rPr>
        <w:t>тубулопатия</w:t>
      </w:r>
      <w:proofErr w:type="spellEnd"/>
      <w:r w:rsidRPr="00C03BA0">
        <w:rPr>
          <w:sz w:val="28"/>
          <w:szCs w:val="28"/>
          <w:lang w:eastAsia="en-GB"/>
        </w:rPr>
        <w:t xml:space="preserve"> (в том числе синдром </w:t>
      </w:r>
      <w:proofErr w:type="spellStart"/>
      <w:r w:rsidRPr="00C03BA0">
        <w:rPr>
          <w:sz w:val="28"/>
          <w:szCs w:val="28"/>
          <w:lang w:eastAsia="en-GB"/>
        </w:rPr>
        <w:t>Фанкони</w:t>
      </w:r>
      <w:proofErr w:type="spellEnd"/>
      <w:r w:rsidRPr="00C03BA0">
        <w:rPr>
          <w:sz w:val="28"/>
          <w:szCs w:val="28"/>
          <w:lang w:eastAsia="en-GB"/>
        </w:rPr>
        <w:t>)</w:t>
      </w:r>
    </w:p>
    <w:p w14:paraId="7350DE4A" w14:textId="77777777" w:rsidR="00C03BA0" w:rsidRPr="00C03BA0" w:rsidRDefault="00C03BA0" w:rsidP="00C03BA0">
      <w:pPr>
        <w:autoSpaceDE w:val="0"/>
        <w:autoSpaceDN w:val="0"/>
        <w:adjustRightInd w:val="0"/>
        <w:jc w:val="both"/>
        <w:rPr>
          <w:i/>
          <w:sz w:val="28"/>
          <w:szCs w:val="28"/>
          <w:lang w:eastAsia="en-GB"/>
        </w:rPr>
      </w:pPr>
      <w:r w:rsidRPr="00C03BA0">
        <w:rPr>
          <w:i/>
          <w:sz w:val="28"/>
          <w:szCs w:val="28"/>
          <w:lang w:eastAsia="en-GB"/>
        </w:rPr>
        <w:t>Редко:</w:t>
      </w:r>
    </w:p>
    <w:p w14:paraId="006CA569" w14:textId="77777777" w:rsidR="00C03BA0" w:rsidRPr="00C03BA0" w:rsidRDefault="00C03BA0" w:rsidP="00C03B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proofErr w:type="spellStart"/>
      <w:r w:rsidRPr="00C03BA0">
        <w:rPr>
          <w:sz w:val="28"/>
          <w:szCs w:val="28"/>
          <w:lang w:eastAsia="en-GB"/>
        </w:rPr>
        <w:t>Лактат</w:t>
      </w:r>
      <w:proofErr w:type="spellEnd"/>
      <w:r w:rsidRPr="00C03BA0">
        <w:rPr>
          <w:sz w:val="28"/>
          <w:szCs w:val="28"/>
          <w:lang w:eastAsia="en-GB"/>
        </w:rPr>
        <w:t>-ацидоз</w:t>
      </w:r>
    </w:p>
    <w:p w14:paraId="63126F9B" w14:textId="77777777" w:rsidR="00C03BA0" w:rsidRPr="00C03BA0" w:rsidRDefault="00C03BA0" w:rsidP="00C03B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Жировая дистрофия печени, гепатит</w:t>
      </w:r>
    </w:p>
    <w:p w14:paraId="55506B92" w14:textId="77777777" w:rsidR="00C03BA0" w:rsidRPr="00C03BA0" w:rsidRDefault="00C03BA0" w:rsidP="00C03B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Ангионевротический отек</w:t>
      </w:r>
    </w:p>
    <w:p w14:paraId="093B9250" w14:textId="77777777" w:rsidR="00C03BA0" w:rsidRPr="00C03BA0" w:rsidRDefault="00C03BA0" w:rsidP="00C03B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Остеомаляция (проявляется как боль в костях и нечасто является одной из причин переломов), миопатия</w:t>
      </w:r>
    </w:p>
    <w:p w14:paraId="4D68CB79" w14:textId="77777777" w:rsidR="00C03BA0" w:rsidRPr="00C03BA0" w:rsidRDefault="00C03BA0" w:rsidP="00C03B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u w:val="single"/>
          <w:lang w:eastAsia="en-GB"/>
        </w:rPr>
      </w:pPr>
      <w:r w:rsidRPr="00C03BA0">
        <w:rPr>
          <w:sz w:val="28"/>
          <w:szCs w:val="28"/>
          <w:lang w:eastAsia="en-GB"/>
        </w:rPr>
        <w:t>Почечная недостаточность (острая и хроническая), острый тубулярный некроз, нефрит (в том числе острый интерстициальн</w:t>
      </w:r>
      <w:r w:rsidR="005402E1">
        <w:rPr>
          <w:sz w:val="28"/>
          <w:szCs w:val="28"/>
          <w:lang w:eastAsia="en-GB"/>
        </w:rPr>
        <w:t>ы</w:t>
      </w:r>
      <w:r w:rsidRPr="00C03BA0">
        <w:rPr>
          <w:sz w:val="28"/>
          <w:szCs w:val="28"/>
          <w:lang w:eastAsia="en-GB"/>
        </w:rPr>
        <w:t xml:space="preserve">й нефрит), </w:t>
      </w:r>
      <w:proofErr w:type="spellStart"/>
      <w:r w:rsidRPr="00C03BA0">
        <w:rPr>
          <w:sz w:val="28"/>
          <w:szCs w:val="28"/>
          <w:lang w:eastAsia="en-GB"/>
        </w:rPr>
        <w:t>нефрогенный</w:t>
      </w:r>
      <w:proofErr w:type="spellEnd"/>
      <w:r w:rsidRPr="00C03BA0">
        <w:rPr>
          <w:sz w:val="28"/>
          <w:szCs w:val="28"/>
          <w:lang w:eastAsia="en-GB"/>
        </w:rPr>
        <w:t xml:space="preserve"> несахарный диабет</w:t>
      </w:r>
    </w:p>
    <w:p w14:paraId="4852B494" w14:textId="77777777" w:rsidR="00EA04E0" w:rsidRPr="00EA04E0" w:rsidRDefault="00EA04E0" w:rsidP="00EA04E0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14:paraId="27E66084" w14:textId="77777777" w:rsidR="0047616F" w:rsidRPr="0047616F" w:rsidRDefault="003B14A9" w:rsidP="003B14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При возникновении ожидаемых лекарственных реакций обращаться к медицинскому работнику, фармацевтическому работнику или </w:t>
      </w:r>
      <w:r w:rsidRPr="003B14A9">
        <w:rPr>
          <w:rFonts w:eastAsia="Calibri"/>
          <w:b/>
          <w:color w:val="000000"/>
          <w:sz w:val="28"/>
          <w:szCs w:val="22"/>
          <w:lang w:eastAsia="en-US"/>
        </w:rPr>
        <w:lastRenderedPageBreak/>
        <w:t>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4C117E1F" w14:textId="77777777" w:rsidR="00FC6FF0" w:rsidRPr="00FC6FF0" w:rsidRDefault="00FC6FF0" w:rsidP="00FC6FF0">
      <w:pPr>
        <w:jc w:val="both"/>
        <w:rPr>
          <w:bCs/>
          <w:iCs/>
          <w:color w:val="000000"/>
          <w:sz w:val="28"/>
          <w:lang w:eastAsia="cs-CZ"/>
        </w:rPr>
      </w:pPr>
      <w:r w:rsidRPr="00FC6FF0">
        <w:rPr>
          <w:bCs/>
          <w:iCs/>
          <w:color w:val="000000"/>
          <w:sz w:val="28"/>
          <w:lang w:eastAsia="cs-CZ"/>
        </w:rPr>
        <w:t xml:space="preserve">РГП на ПХВ «Национальный Центр экспертизы лекарственных средств и медицинских изделий» </w:t>
      </w:r>
      <w:r w:rsidR="00C03872" w:rsidRPr="00C03872">
        <w:rPr>
          <w:sz w:val="28"/>
          <w:szCs w:val="28"/>
        </w:rPr>
        <w:t>Комитет</w:t>
      </w:r>
      <w:r w:rsidR="00BC4ED2">
        <w:rPr>
          <w:sz w:val="28"/>
          <w:szCs w:val="28"/>
          <w:lang w:val="en-US"/>
        </w:rPr>
        <w:t>f</w:t>
      </w:r>
      <w:r w:rsidR="00C03872" w:rsidRPr="00C03872">
        <w:rPr>
          <w:sz w:val="28"/>
          <w:szCs w:val="28"/>
        </w:rPr>
        <w:t xml:space="preserve"> медицинского и фармацевтического контроля Министерства здравоохранения Республики Казахстан</w:t>
      </w:r>
    </w:p>
    <w:p w14:paraId="562040C1" w14:textId="77777777" w:rsidR="00FC6FF0" w:rsidRPr="00FC6FF0" w:rsidRDefault="007D3163" w:rsidP="00FC6FF0">
      <w:pPr>
        <w:jc w:val="both"/>
        <w:rPr>
          <w:bCs/>
          <w:iCs/>
          <w:color w:val="000000"/>
          <w:sz w:val="28"/>
          <w:lang w:eastAsia="cs-CZ"/>
        </w:rPr>
      </w:pPr>
      <w:hyperlink r:id="rId7" w:history="1">
        <w:r w:rsidR="00FC6FF0" w:rsidRPr="00FC6FF0">
          <w:rPr>
            <w:rStyle w:val="ad"/>
            <w:bCs/>
            <w:iCs/>
            <w:sz w:val="28"/>
            <w:lang w:val="en-US" w:eastAsia="cs-CZ"/>
          </w:rPr>
          <w:t>http</w:t>
        </w:r>
        <w:r w:rsidR="00FC6FF0" w:rsidRPr="00FC6FF0">
          <w:rPr>
            <w:rStyle w:val="ad"/>
            <w:bCs/>
            <w:iCs/>
            <w:sz w:val="28"/>
            <w:lang w:eastAsia="cs-CZ"/>
          </w:rPr>
          <w:t>://</w:t>
        </w:r>
        <w:r w:rsidR="00FC6FF0" w:rsidRPr="00FC6FF0">
          <w:rPr>
            <w:rStyle w:val="ad"/>
            <w:bCs/>
            <w:iCs/>
            <w:sz w:val="28"/>
            <w:lang w:val="en-US" w:eastAsia="cs-CZ"/>
          </w:rPr>
          <w:t>www</w:t>
        </w:r>
        <w:r w:rsidR="00FC6FF0" w:rsidRPr="00FC6F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FC6FF0" w:rsidRPr="00FC6FF0">
          <w:rPr>
            <w:rStyle w:val="ad"/>
            <w:bCs/>
            <w:iCs/>
            <w:sz w:val="28"/>
            <w:lang w:val="en-US" w:eastAsia="cs-CZ"/>
          </w:rPr>
          <w:t>ndda</w:t>
        </w:r>
        <w:proofErr w:type="spellEnd"/>
        <w:r w:rsidR="00FC6FF0" w:rsidRPr="00FC6F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FC6FF0" w:rsidRPr="00FC6FF0">
          <w:rPr>
            <w:rStyle w:val="ad"/>
            <w:bCs/>
            <w:iCs/>
            <w:sz w:val="28"/>
            <w:lang w:val="en-US" w:eastAsia="cs-CZ"/>
          </w:rPr>
          <w:t>kz</w:t>
        </w:r>
        <w:proofErr w:type="spellEnd"/>
      </w:hyperlink>
    </w:p>
    <w:p w14:paraId="2E610F9F" w14:textId="77777777" w:rsidR="002D494D" w:rsidRPr="00407ACE" w:rsidRDefault="002D494D" w:rsidP="00454FB8">
      <w:pPr>
        <w:jc w:val="both"/>
        <w:rPr>
          <w:color w:val="000000"/>
          <w:sz w:val="28"/>
          <w:lang w:eastAsia="cs-CZ"/>
        </w:rPr>
      </w:pPr>
    </w:p>
    <w:p w14:paraId="5CA102A1" w14:textId="77777777" w:rsidR="003B14A9" w:rsidRPr="003B14A9" w:rsidRDefault="003B14A9" w:rsidP="003B14A9">
      <w:pPr>
        <w:jc w:val="both"/>
        <w:rPr>
          <w:b/>
          <w:color w:val="000000"/>
          <w:sz w:val="28"/>
          <w:lang w:eastAsia="cs-CZ"/>
        </w:rPr>
      </w:pPr>
      <w:r w:rsidRPr="003B14A9">
        <w:rPr>
          <w:b/>
          <w:color w:val="000000"/>
          <w:sz w:val="28"/>
          <w:lang w:eastAsia="cs-CZ"/>
        </w:rPr>
        <w:t>Дополнительные сведения</w:t>
      </w:r>
    </w:p>
    <w:p w14:paraId="27EEB959" w14:textId="77777777" w:rsidR="003B14A9" w:rsidRPr="003B14A9" w:rsidRDefault="003B14A9" w:rsidP="003B14A9">
      <w:pPr>
        <w:jc w:val="both"/>
        <w:rPr>
          <w:i/>
          <w:color w:val="000000"/>
          <w:sz w:val="28"/>
          <w:lang w:eastAsia="cs-CZ"/>
        </w:rPr>
      </w:pPr>
      <w:bookmarkStart w:id="1" w:name="2175220285"/>
      <w:r w:rsidRPr="003B14A9">
        <w:rPr>
          <w:b/>
          <w:i/>
          <w:color w:val="000000"/>
          <w:sz w:val="28"/>
          <w:lang w:eastAsia="cs-CZ"/>
        </w:rPr>
        <w:t xml:space="preserve">Состав лекарственного препарата </w:t>
      </w:r>
    </w:p>
    <w:bookmarkEnd w:id="1"/>
    <w:p w14:paraId="0C496387" w14:textId="77777777" w:rsidR="004F721F" w:rsidRPr="004F721F" w:rsidRDefault="004F721F" w:rsidP="004F721F">
      <w:pPr>
        <w:jc w:val="both"/>
        <w:rPr>
          <w:color w:val="000000"/>
          <w:sz w:val="28"/>
          <w:lang w:eastAsia="cs-CZ"/>
        </w:rPr>
      </w:pPr>
      <w:r w:rsidRPr="004F721F">
        <w:rPr>
          <w:bCs/>
          <w:color w:val="000000"/>
          <w:sz w:val="28"/>
          <w:lang w:eastAsia="cs-CZ"/>
        </w:rPr>
        <w:t>Одна таблетка содержит</w:t>
      </w:r>
      <w:r w:rsidRPr="004F721F">
        <w:rPr>
          <w:color w:val="000000"/>
          <w:sz w:val="28"/>
          <w:lang w:eastAsia="cs-CZ"/>
        </w:rPr>
        <w:t xml:space="preserve"> </w:t>
      </w:r>
    </w:p>
    <w:p w14:paraId="767BDD80" w14:textId="77777777" w:rsidR="004F721F" w:rsidRPr="004F721F" w:rsidRDefault="004F721F" w:rsidP="004F721F">
      <w:pPr>
        <w:jc w:val="both"/>
        <w:rPr>
          <w:bCs/>
          <w:color w:val="000000"/>
          <w:sz w:val="28"/>
          <w:lang w:eastAsia="cs-CZ"/>
        </w:rPr>
      </w:pPr>
      <w:r w:rsidRPr="004F721F">
        <w:rPr>
          <w:i/>
          <w:color w:val="000000"/>
          <w:sz w:val="28"/>
          <w:lang w:eastAsia="cs-CZ"/>
        </w:rPr>
        <w:t>активные вещества:</w:t>
      </w:r>
      <w:r w:rsidRPr="004F721F">
        <w:rPr>
          <w:b/>
          <w:color w:val="000000"/>
          <w:sz w:val="28"/>
          <w:lang w:eastAsia="cs-CZ"/>
        </w:rPr>
        <w:t xml:space="preserve"> </w:t>
      </w:r>
      <w:proofErr w:type="spellStart"/>
      <w:r w:rsidRPr="004F721F">
        <w:rPr>
          <w:bCs/>
          <w:color w:val="000000"/>
          <w:sz w:val="28"/>
          <w:lang w:eastAsia="cs-CZ"/>
        </w:rPr>
        <w:t>эмтрицитабин</w:t>
      </w:r>
      <w:proofErr w:type="spellEnd"/>
      <w:r w:rsidR="00A57458">
        <w:rPr>
          <w:bCs/>
          <w:color w:val="000000"/>
          <w:sz w:val="28"/>
          <w:lang w:eastAsia="cs-CZ"/>
        </w:rPr>
        <w:t>,</w:t>
      </w:r>
      <w:r w:rsidRPr="004F721F">
        <w:rPr>
          <w:bCs/>
          <w:color w:val="000000"/>
          <w:sz w:val="28"/>
          <w:lang w:eastAsia="cs-CZ"/>
        </w:rPr>
        <w:t xml:space="preserve"> 200 мг, </w:t>
      </w:r>
    </w:p>
    <w:p w14:paraId="08ED5ED4" w14:textId="77777777" w:rsidR="004F721F" w:rsidRPr="004F721F" w:rsidRDefault="004F721F" w:rsidP="004F721F">
      <w:pPr>
        <w:jc w:val="both"/>
        <w:rPr>
          <w:color w:val="000000"/>
          <w:sz w:val="28"/>
          <w:lang w:eastAsia="cs-CZ"/>
        </w:rPr>
      </w:pPr>
      <w:r w:rsidRPr="004F721F">
        <w:rPr>
          <w:bCs/>
          <w:color w:val="000000"/>
          <w:sz w:val="28"/>
          <w:lang w:eastAsia="cs-CZ"/>
        </w:rPr>
        <w:t xml:space="preserve">     </w:t>
      </w:r>
      <w:r w:rsidR="00CD251F">
        <w:rPr>
          <w:bCs/>
          <w:color w:val="000000"/>
          <w:sz w:val="28"/>
          <w:lang w:eastAsia="cs-CZ"/>
        </w:rPr>
        <w:t xml:space="preserve">                            </w:t>
      </w:r>
      <w:r w:rsidR="00761287">
        <w:rPr>
          <w:bCs/>
          <w:color w:val="000000"/>
          <w:sz w:val="28"/>
          <w:lang w:eastAsia="cs-CZ"/>
        </w:rPr>
        <w:t xml:space="preserve">  </w:t>
      </w:r>
      <w:r w:rsidR="00CD251F">
        <w:rPr>
          <w:bCs/>
          <w:color w:val="000000"/>
          <w:sz w:val="28"/>
          <w:lang w:eastAsia="cs-CZ"/>
        </w:rPr>
        <w:t xml:space="preserve">  </w:t>
      </w:r>
      <w:proofErr w:type="spellStart"/>
      <w:r w:rsidRPr="004F721F">
        <w:rPr>
          <w:bCs/>
          <w:color w:val="000000"/>
          <w:sz w:val="28"/>
          <w:lang w:eastAsia="cs-CZ"/>
        </w:rPr>
        <w:t>тенофовира</w:t>
      </w:r>
      <w:proofErr w:type="spellEnd"/>
      <w:r w:rsidRPr="004F721F">
        <w:rPr>
          <w:bCs/>
          <w:color w:val="000000"/>
          <w:sz w:val="28"/>
          <w:lang w:eastAsia="cs-CZ"/>
        </w:rPr>
        <w:t xml:space="preserve"> </w:t>
      </w:r>
      <w:proofErr w:type="spellStart"/>
      <w:r w:rsidRPr="004F721F">
        <w:rPr>
          <w:bCs/>
          <w:color w:val="000000"/>
          <w:sz w:val="28"/>
          <w:lang w:eastAsia="cs-CZ"/>
        </w:rPr>
        <w:t>дизопроксила</w:t>
      </w:r>
      <w:proofErr w:type="spellEnd"/>
      <w:r w:rsidRPr="004F721F">
        <w:rPr>
          <w:bCs/>
          <w:color w:val="000000"/>
          <w:sz w:val="28"/>
          <w:lang w:eastAsia="cs-CZ"/>
        </w:rPr>
        <w:t xml:space="preserve"> </w:t>
      </w:r>
      <w:proofErr w:type="spellStart"/>
      <w:r w:rsidRPr="004F721F">
        <w:rPr>
          <w:bCs/>
          <w:color w:val="000000"/>
          <w:sz w:val="28"/>
          <w:lang w:eastAsia="cs-CZ"/>
        </w:rPr>
        <w:t>фумарат</w:t>
      </w:r>
      <w:proofErr w:type="spellEnd"/>
      <w:r w:rsidR="00A57458">
        <w:rPr>
          <w:bCs/>
          <w:color w:val="000000"/>
          <w:sz w:val="28"/>
          <w:lang w:eastAsia="cs-CZ"/>
        </w:rPr>
        <w:t>,</w:t>
      </w:r>
      <w:r w:rsidRPr="004F721F">
        <w:rPr>
          <w:bCs/>
          <w:color w:val="000000"/>
          <w:sz w:val="28"/>
          <w:lang w:eastAsia="cs-CZ"/>
        </w:rPr>
        <w:t xml:space="preserve"> 300 мг,</w:t>
      </w:r>
    </w:p>
    <w:p w14:paraId="155BB114" w14:textId="77777777" w:rsidR="004F721F" w:rsidRPr="004F721F" w:rsidRDefault="004F721F" w:rsidP="004F721F">
      <w:pPr>
        <w:jc w:val="both"/>
        <w:rPr>
          <w:bCs/>
          <w:color w:val="000000"/>
          <w:sz w:val="28"/>
          <w:lang w:eastAsia="cs-CZ"/>
        </w:rPr>
      </w:pPr>
      <w:r w:rsidRPr="004F721F">
        <w:rPr>
          <w:i/>
          <w:color w:val="000000"/>
          <w:sz w:val="28"/>
          <w:lang w:eastAsia="cs-CZ"/>
        </w:rPr>
        <w:t>вспомогательные вещества:</w:t>
      </w:r>
      <w:r w:rsidRPr="004F721F">
        <w:rPr>
          <w:color w:val="000000"/>
          <w:sz w:val="28"/>
          <w:lang w:eastAsia="cs-CZ"/>
        </w:rPr>
        <w:t xml:space="preserve"> </w:t>
      </w:r>
      <w:r w:rsidR="005E1E7A">
        <w:rPr>
          <w:bCs/>
          <w:color w:val="000000"/>
          <w:sz w:val="28"/>
          <w:lang w:eastAsia="cs-CZ"/>
        </w:rPr>
        <w:t>лактоза безводная</w:t>
      </w:r>
      <w:r w:rsidR="00CC3219" w:rsidRPr="00CC3219">
        <w:rPr>
          <w:bCs/>
          <w:color w:val="000000"/>
          <w:sz w:val="28"/>
          <w:lang w:eastAsia="cs-CZ"/>
        </w:rPr>
        <w:t xml:space="preserve"> </w:t>
      </w:r>
      <w:r w:rsidR="00CC3219">
        <w:rPr>
          <w:sz w:val="28"/>
          <w:szCs w:val="28"/>
        </w:rPr>
        <w:t>(</w:t>
      </w:r>
      <w:r w:rsidR="00CC3219">
        <w:rPr>
          <w:sz w:val="28"/>
          <w:szCs w:val="28"/>
          <w:lang w:val="en-US"/>
        </w:rPr>
        <w:t>Super</w:t>
      </w:r>
      <w:r w:rsidR="00CC3219" w:rsidRPr="00CC3219">
        <w:rPr>
          <w:sz w:val="28"/>
          <w:szCs w:val="28"/>
        </w:rPr>
        <w:t xml:space="preserve"> </w:t>
      </w:r>
      <w:r w:rsidR="00CC3219">
        <w:rPr>
          <w:sz w:val="28"/>
          <w:szCs w:val="28"/>
          <w:lang w:val="en-US"/>
        </w:rPr>
        <w:t>Tab</w:t>
      </w:r>
      <w:r w:rsidR="00CC3219">
        <w:rPr>
          <w:sz w:val="28"/>
          <w:szCs w:val="28"/>
        </w:rPr>
        <w:t xml:space="preserve"> 24 </w:t>
      </w:r>
      <w:r w:rsidR="00CC3219">
        <w:rPr>
          <w:sz w:val="28"/>
          <w:szCs w:val="28"/>
          <w:lang w:val="en-US"/>
        </w:rPr>
        <w:t>AN</w:t>
      </w:r>
      <w:r w:rsidR="00CC3219" w:rsidRPr="00CC3219">
        <w:rPr>
          <w:sz w:val="28"/>
          <w:szCs w:val="28"/>
        </w:rPr>
        <w:t>)</w:t>
      </w:r>
      <w:r w:rsidRPr="004F721F">
        <w:rPr>
          <w:bCs/>
          <w:color w:val="000000"/>
          <w:sz w:val="28"/>
          <w:lang w:eastAsia="cs-CZ"/>
        </w:rPr>
        <w:t>,</w:t>
      </w:r>
      <w:r w:rsidRPr="004F721F">
        <w:rPr>
          <w:color w:val="000000"/>
          <w:sz w:val="28"/>
          <w:lang w:eastAsia="cs-CZ"/>
        </w:rPr>
        <w:t xml:space="preserve"> </w:t>
      </w:r>
      <w:r w:rsidR="005E1E7A">
        <w:rPr>
          <w:bCs/>
          <w:color w:val="000000"/>
          <w:sz w:val="28"/>
          <w:lang w:eastAsia="cs-CZ"/>
        </w:rPr>
        <w:t>целлюлоза микрокристаллическая</w:t>
      </w:r>
      <w:r w:rsidR="00CC3219" w:rsidRPr="00CC3219">
        <w:rPr>
          <w:bCs/>
          <w:color w:val="000000"/>
          <w:sz w:val="28"/>
          <w:lang w:eastAsia="cs-CZ"/>
        </w:rPr>
        <w:t xml:space="preserve"> (</w:t>
      </w:r>
      <w:proofErr w:type="spellStart"/>
      <w:r w:rsidR="00CC3219" w:rsidRPr="00CC3219">
        <w:rPr>
          <w:bCs/>
          <w:color w:val="000000"/>
          <w:sz w:val="28"/>
          <w:lang w:eastAsia="cs-CZ"/>
        </w:rPr>
        <w:t>Avicel</w:t>
      </w:r>
      <w:proofErr w:type="spellEnd"/>
      <w:r w:rsidR="00CC3219" w:rsidRPr="00CC3219">
        <w:rPr>
          <w:bCs/>
          <w:color w:val="000000"/>
          <w:sz w:val="28"/>
          <w:lang w:eastAsia="cs-CZ"/>
        </w:rPr>
        <w:t xml:space="preserve"> PH 112)</w:t>
      </w:r>
      <w:r w:rsidRPr="00876679">
        <w:rPr>
          <w:bCs/>
          <w:color w:val="000000"/>
          <w:sz w:val="28"/>
          <w:lang w:eastAsia="cs-CZ"/>
        </w:rPr>
        <w:t>,</w:t>
      </w:r>
      <w:r w:rsidR="005E1E7A">
        <w:rPr>
          <w:bCs/>
          <w:color w:val="000000"/>
          <w:sz w:val="28"/>
          <w:lang w:eastAsia="cs-CZ"/>
        </w:rPr>
        <w:t xml:space="preserve"> натрия </w:t>
      </w:r>
      <w:proofErr w:type="spellStart"/>
      <w:r w:rsidR="005E1E7A">
        <w:rPr>
          <w:bCs/>
          <w:color w:val="000000"/>
          <w:sz w:val="28"/>
          <w:lang w:eastAsia="cs-CZ"/>
        </w:rPr>
        <w:t>кроскармеллоза</w:t>
      </w:r>
      <w:proofErr w:type="spellEnd"/>
      <w:r w:rsidR="00CC3219" w:rsidRPr="00CC3219">
        <w:rPr>
          <w:bCs/>
          <w:color w:val="000000"/>
          <w:sz w:val="28"/>
          <w:lang w:eastAsia="cs-CZ"/>
        </w:rPr>
        <w:t xml:space="preserve"> </w:t>
      </w:r>
      <w:r w:rsidR="00CC3219" w:rsidRPr="00CC3219">
        <w:rPr>
          <w:sz w:val="28"/>
          <w:szCs w:val="28"/>
        </w:rPr>
        <w:t>(</w:t>
      </w:r>
      <w:r w:rsidR="00CC3219">
        <w:rPr>
          <w:sz w:val="28"/>
          <w:szCs w:val="28"/>
          <w:lang w:val="en-US"/>
        </w:rPr>
        <w:t>Ac</w:t>
      </w:r>
      <w:r w:rsidR="00CC3219" w:rsidRPr="00CC3219">
        <w:rPr>
          <w:sz w:val="28"/>
          <w:szCs w:val="28"/>
        </w:rPr>
        <w:t>-</w:t>
      </w:r>
      <w:r w:rsidR="00CC3219">
        <w:rPr>
          <w:sz w:val="28"/>
          <w:szCs w:val="28"/>
          <w:lang w:val="en-US"/>
        </w:rPr>
        <w:t>di</w:t>
      </w:r>
      <w:r w:rsidR="00CC3219" w:rsidRPr="00CC3219">
        <w:rPr>
          <w:sz w:val="28"/>
          <w:szCs w:val="28"/>
        </w:rPr>
        <w:t>-</w:t>
      </w:r>
      <w:r w:rsidR="00CC3219">
        <w:rPr>
          <w:sz w:val="28"/>
          <w:szCs w:val="28"/>
          <w:lang w:val="en-US"/>
        </w:rPr>
        <w:t>sol</w:t>
      </w:r>
      <w:r w:rsidR="00CC3219" w:rsidRPr="00CC3219">
        <w:rPr>
          <w:sz w:val="28"/>
          <w:szCs w:val="28"/>
        </w:rPr>
        <w:t>)</w:t>
      </w:r>
      <w:r w:rsidR="005E1E7A">
        <w:rPr>
          <w:bCs/>
          <w:color w:val="000000"/>
          <w:sz w:val="28"/>
          <w:lang w:eastAsia="cs-CZ"/>
        </w:rPr>
        <w:t>,</w:t>
      </w:r>
      <w:r w:rsidRPr="004F721F">
        <w:rPr>
          <w:bCs/>
          <w:color w:val="000000"/>
          <w:sz w:val="28"/>
          <w:lang w:eastAsia="cs-CZ"/>
        </w:rPr>
        <w:t xml:space="preserve"> магния </w:t>
      </w:r>
      <w:proofErr w:type="spellStart"/>
      <w:r w:rsidRPr="004F721F">
        <w:rPr>
          <w:bCs/>
          <w:color w:val="000000"/>
          <w:sz w:val="28"/>
          <w:lang w:eastAsia="cs-CZ"/>
        </w:rPr>
        <w:t>стеарат</w:t>
      </w:r>
      <w:proofErr w:type="spellEnd"/>
      <w:r w:rsidRPr="004F721F">
        <w:rPr>
          <w:bCs/>
          <w:color w:val="000000"/>
          <w:sz w:val="28"/>
          <w:lang w:eastAsia="cs-CZ"/>
        </w:rPr>
        <w:t xml:space="preserve">,  </w:t>
      </w:r>
    </w:p>
    <w:p w14:paraId="79A4F95F" w14:textId="77777777" w:rsidR="004F721F" w:rsidRDefault="004F721F" w:rsidP="004F721F">
      <w:pPr>
        <w:jc w:val="both"/>
        <w:rPr>
          <w:color w:val="000000"/>
          <w:sz w:val="28"/>
          <w:lang w:eastAsia="cs-CZ"/>
        </w:rPr>
      </w:pPr>
      <w:r w:rsidRPr="004F721F">
        <w:rPr>
          <w:bCs/>
          <w:i/>
          <w:color w:val="000000"/>
          <w:sz w:val="28"/>
          <w:lang w:eastAsia="cs-CZ"/>
        </w:rPr>
        <w:t>состав пленочной оболочки</w:t>
      </w:r>
      <w:r w:rsidR="00EA04E0">
        <w:rPr>
          <w:bCs/>
          <w:color w:val="000000"/>
          <w:sz w:val="28"/>
          <w:lang w:eastAsia="cs-CZ"/>
        </w:rPr>
        <w:t xml:space="preserve">: </w:t>
      </w:r>
      <w:proofErr w:type="spellStart"/>
      <w:r w:rsidR="00EA04E0">
        <w:rPr>
          <w:bCs/>
          <w:color w:val="000000"/>
          <w:sz w:val="28"/>
          <w:lang w:eastAsia="cs-CZ"/>
        </w:rPr>
        <w:t>Опадрай</w:t>
      </w:r>
      <w:proofErr w:type="spellEnd"/>
      <w:r w:rsidR="009700C3">
        <w:rPr>
          <w:bCs/>
          <w:color w:val="000000"/>
          <w:sz w:val="28"/>
          <w:lang w:eastAsia="cs-CZ"/>
        </w:rPr>
        <w:t xml:space="preserve"> II Голубой</w:t>
      </w:r>
      <w:r w:rsidRPr="004F721F">
        <w:rPr>
          <w:bCs/>
          <w:color w:val="000000"/>
          <w:sz w:val="28"/>
          <w:lang w:eastAsia="cs-CZ"/>
        </w:rPr>
        <w:t xml:space="preserve"> 32K505040 (</w:t>
      </w:r>
      <w:proofErr w:type="spellStart"/>
      <w:r w:rsidRPr="004F721F">
        <w:rPr>
          <w:color w:val="000000"/>
          <w:sz w:val="28"/>
          <w:lang w:eastAsia="cs-CZ"/>
        </w:rPr>
        <w:t>гипромеллоза</w:t>
      </w:r>
      <w:proofErr w:type="spellEnd"/>
      <w:r w:rsidRPr="004F721F">
        <w:rPr>
          <w:color w:val="000000"/>
          <w:sz w:val="28"/>
          <w:lang w:eastAsia="cs-CZ"/>
        </w:rPr>
        <w:t xml:space="preserve"> 2910,</w:t>
      </w:r>
      <w:r w:rsidRPr="004F721F" w:rsidDel="000C56E7">
        <w:rPr>
          <w:color w:val="000000"/>
          <w:sz w:val="28"/>
          <w:lang w:eastAsia="cs-CZ"/>
        </w:rPr>
        <w:t xml:space="preserve"> </w:t>
      </w:r>
      <w:r w:rsidRPr="004F721F">
        <w:rPr>
          <w:color w:val="000000"/>
          <w:sz w:val="28"/>
          <w:lang w:eastAsia="cs-CZ"/>
        </w:rPr>
        <w:t xml:space="preserve">лактозы моногидрат, титана диоксид (Е171), </w:t>
      </w:r>
      <w:proofErr w:type="spellStart"/>
      <w:r w:rsidRPr="004F721F">
        <w:rPr>
          <w:color w:val="000000"/>
          <w:sz w:val="28"/>
          <w:lang w:eastAsia="cs-CZ"/>
        </w:rPr>
        <w:t>триацетин</w:t>
      </w:r>
      <w:proofErr w:type="spellEnd"/>
      <w:r w:rsidRPr="004F721F">
        <w:rPr>
          <w:color w:val="000000"/>
          <w:sz w:val="28"/>
          <w:lang w:eastAsia="cs-CZ"/>
        </w:rPr>
        <w:t>, FD&amp;C Голубой # 2 Индигокармина алюминиевый лак (Е132)).</w:t>
      </w:r>
    </w:p>
    <w:p w14:paraId="48FF98B0" w14:textId="77777777" w:rsidR="00BF4068" w:rsidRPr="004F721F" w:rsidRDefault="00BF4068" w:rsidP="004F721F">
      <w:pPr>
        <w:jc w:val="both"/>
        <w:rPr>
          <w:color w:val="000000"/>
          <w:sz w:val="28"/>
          <w:lang w:eastAsia="cs-CZ"/>
        </w:rPr>
      </w:pPr>
    </w:p>
    <w:p w14:paraId="1091766D" w14:textId="77777777" w:rsidR="00842457" w:rsidRDefault="00842457" w:rsidP="003B14A9">
      <w:pPr>
        <w:jc w:val="both"/>
        <w:rPr>
          <w:b/>
          <w:i/>
          <w:color w:val="000000"/>
          <w:sz w:val="28"/>
          <w:lang w:eastAsia="cs-CZ"/>
        </w:rPr>
      </w:pPr>
      <w:r w:rsidRPr="00842457">
        <w:rPr>
          <w:b/>
          <w:i/>
          <w:color w:val="000000"/>
          <w:sz w:val="28"/>
          <w:lang w:eastAsia="cs-CZ"/>
        </w:rPr>
        <w:t>Описание внешнего вида, запаха, вкуса</w:t>
      </w:r>
    </w:p>
    <w:p w14:paraId="3778E8F3" w14:textId="77777777" w:rsidR="003B14A9" w:rsidRDefault="004F721F" w:rsidP="00454FB8">
      <w:pPr>
        <w:jc w:val="both"/>
        <w:rPr>
          <w:color w:val="000000"/>
          <w:sz w:val="28"/>
          <w:lang w:eastAsia="cs-CZ"/>
        </w:rPr>
      </w:pPr>
      <w:r w:rsidRPr="004F721F">
        <w:rPr>
          <w:color w:val="000000"/>
          <w:sz w:val="28"/>
          <w:lang w:eastAsia="cs-CZ"/>
        </w:rPr>
        <w:t xml:space="preserve">Таблетки </w:t>
      </w:r>
      <w:proofErr w:type="spellStart"/>
      <w:r w:rsidRPr="004F721F">
        <w:rPr>
          <w:color w:val="000000"/>
          <w:sz w:val="28"/>
          <w:lang w:eastAsia="cs-CZ"/>
        </w:rPr>
        <w:t>капсуловидной</w:t>
      </w:r>
      <w:proofErr w:type="spellEnd"/>
      <w:r w:rsidRPr="004F721F">
        <w:rPr>
          <w:color w:val="000000"/>
          <w:sz w:val="28"/>
          <w:lang w:eastAsia="cs-CZ"/>
        </w:rPr>
        <w:t xml:space="preserve"> формы, двояковыпуклые, покрытые пленочной оболочкой </w:t>
      </w:r>
      <w:r w:rsidR="00D77EFB">
        <w:rPr>
          <w:color w:val="000000"/>
          <w:sz w:val="28"/>
          <w:lang w:eastAsia="cs-CZ"/>
        </w:rPr>
        <w:t>голубого цвета, с гравировкой «LA49»</w:t>
      </w:r>
      <w:r w:rsidRPr="004F721F">
        <w:rPr>
          <w:color w:val="000000"/>
          <w:sz w:val="28"/>
          <w:lang w:eastAsia="cs-CZ"/>
        </w:rPr>
        <w:t xml:space="preserve"> на одной стороне и гладкие с другой стороны.</w:t>
      </w:r>
    </w:p>
    <w:p w14:paraId="348D7258" w14:textId="77777777" w:rsidR="009A4076" w:rsidRPr="00D77EFB" w:rsidRDefault="009A4076" w:rsidP="00454FB8">
      <w:pPr>
        <w:jc w:val="both"/>
        <w:rPr>
          <w:b/>
          <w:color w:val="000000"/>
          <w:sz w:val="28"/>
          <w:lang w:eastAsia="cs-CZ"/>
        </w:rPr>
      </w:pPr>
    </w:p>
    <w:p w14:paraId="3168590F" w14:textId="77777777" w:rsidR="009A4076" w:rsidRPr="009A4076" w:rsidRDefault="009A4076" w:rsidP="00454FB8">
      <w:pPr>
        <w:jc w:val="both"/>
        <w:rPr>
          <w:b/>
          <w:color w:val="000000"/>
          <w:sz w:val="28"/>
          <w:lang w:eastAsia="cs-CZ"/>
        </w:rPr>
      </w:pPr>
      <w:r w:rsidRPr="009A4076">
        <w:rPr>
          <w:b/>
          <w:color w:val="000000"/>
          <w:sz w:val="28"/>
          <w:lang w:eastAsia="cs-CZ"/>
        </w:rPr>
        <w:t>Форма выпуска и упаковка</w:t>
      </w:r>
    </w:p>
    <w:p w14:paraId="0B2D6C0B" w14:textId="77777777" w:rsidR="009A4076" w:rsidRPr="009A4076" w:rsidRDefault="009A4076" w:rsidP="009A4076">
      <w:pPr>
        <w:jc w:val="both"/>
        <w:rPr>
          <w:color w:val="000000"/>
          <w:sz w:val="28"/>
          <w:lang w:eastAsia="cs-CZ"/>
        </w:rPr>
      </w:pPr>
      <w:r w:rsidRPr="009A4076">
        <w:rPr>
          <w:color w:val="000000"/>
          <w:sz w:val="28"/>
          <w:lang w:eastAsia="cs-CZ"/>
        </w:rPr>
        <w:t>По 30 или 90 таблеток помещают в полиэтиленовый контейнер высокой плотности.</w:t>
      </w:r>
      <w:r w:rsidR="00D77EFB" w:rsidRPr="00D77EFB">
        <w:t xml:space="preserve"> </w:t>
      </w:r>
      <w:r w:rsidR="00D77EFB" w:rsidRPr="00D77EFB">
        <w:rPr>
          <w:color w:val="000000"/>
          <w:sz w:val="28"/>
          <w:lang w:eastAsia="cs-CZ"/>
        </w:rPr>
        <w:t>Во флаконе содержится поглотитель влаги силикагель.</w:t>
      </w:r>
    </w:p>
    <w:p w14:paraId="6896A26F" w14:textId="77777777" w:rsidR="009A4076" w:rsidRDefault="009A4076" w:rsidP="009A4076">
      <w:pPr>
        <w:jc w:val="both"/>
        <w:rPr>
          <w:color w:val="000000"/>
          <w:sz w:val="28"/>
          <w:lang w:eastAsia="cs-CZ"/>
        </w:rPr>
      </w:pPr>
      <w:r w:rsidRPr="009A4076">
        <w:rPr>
          <w:color w:val="000000"/>
          <w:sz w:val="28"/>
          <w:lang w:eastAsia="cs-CZ"/>
        </w:rPr>
        <w:t>На контейнер прикрепляют</w:t>
      </w:r>
      <w:r>
        <w:rPr>
          <w:color w:val="000000"/>
          <w:sz w:val="28"/>
          <w:lang w:eastAsia="cs-CZ"/>
        </w:rPr>
        <w:t xml:space="preserve"> этикетку </w:t>
      </w:r>
      <w:proofErr w:type="spellStart"/>
      <w:r>
        <w:rPr>
          <w:color w:val="000000"/>
          <w:sz w:val="28"/>
          <w:lang w:eastAsia="cs-CZ"/>
        </w:rPr>
        <w:t>самоклеющуюся</w:t>
      </w:r>
      <w:proofErr w:type="spellEnd"/>
      <w:r>
        <w:rPr>
          <w:color w:val="000000"/>
          <w:sz w:val="28"/>
          <w:lang w:eastAsia="cs-CZ"/>
        </w:rPr>
        <w:t xml:space="preserve"> и</w:t>
      </w:r>
      <w:r w:rsidRPr="009A4076">
        <w:rPr>
          <w:color w:val="000000"/>
          <w:sz w:val="28"/>
          <w:lang w:eastAsia="cs-CZ"/>
        </w:rPr>
        <w:t xml:space="preserve"> инструкцию по медицинскому применению на </w:t>
      </w:r>
      <w:r w:rsidR="00FC6FF0">
        <w:rPr>
          <w:color w:val="000000"/>
          <w:sz w:val="28"/>
          <w:lang w:val="kk-KZ" w:eastAsia="cs-CZ"/>
        </w:rPr>
        <w:t>казахском</w:t>
      </w:r>
      <w:r w:rsidRPr="009A4076">
        <w:rPr>
          <w:color w:val="000000"/>
          <w:sz w:val="28"/>
          <w:lang w:eastAsia="cs-CZ"/>
        </w:rPr>
        <w:t xml:space="preserve"> и русском языках.</w:t>
      </w:r>
    </w:p>
    <w:p w14:paraId="75E25E41" w14:textId="77777777" w:rsidR="00417A87" w:rsidRPr="009A4076" w:rsidRDefault="00417A87" w:rsidP="004E6424">
      <w:pPr>
        <w:jc w:val="both"/>
        <w:rPr>
          <w:b/>
          <w:color w:val="000000"/>
          <w:sz w:val="28"/>
          <w:lang w:eastAsia="cs-CZ"/>
        </w:rPr>
      </w:pPr>
    </w:p>
    <w:p w14:paraId="0846CCF7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Срок хранения </w:t>
      </w:r>
    </w:p>
    <w:p w14:paraId="1F31E232" w14:textId="77777777" w:rsidR="004E6424" w:rsidRPr="004E6424" w:rsidRDefault="00140EC3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3</w:t>
      </w:r>
      <w:r w:rsidR="004E6424" w:rsidRPr="004E6424">
        <w:rPr>
          <w:color w:val="000000"/>
          <w:sz w:val="28"/>
          <w:lang w:eastAsia="cs-CZ"/>
        </w:rPr>
        <w:t xml:space="preserve"> года</w:t>
      </w:r>
    </w:p>
    <w:p w14:paraId="57BF500F" w14:textId="77777777" w:rsidR="004F721F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Не применя</w:t>
      </w:r>
      <w:r w:rsidR="009700C3">
        <w:rPr>
          <w:color w:val="000000"/>
          <w:sz w:val="28"/>
          <w:lang w:eastAsia="cs-CZ"/>
        </w:rPr>
        <w:t>ть по истечении срока годности!</w:t>
      </w:r>
    </w:p>
    <w:p w14:paraId="616F3C9E" w14:textId="77777777" w:rsidR="00140EC3" w:rsidRPr="009700C3" w:rsidRDefault="00140EC3" w:rsidP="004E6424">
      <w:pPr>
        <w:jc w:val="both"/>
        <w:rPr>
          <w:color w:val="000000"/>
          <w:sz w:val="28"/>
          <w:lang w:eastAsia="cs-CZ"/>
        </w:rPr>
      </w:pPr>
    </w:p>
    <w:p w14:paraId="03756C31" w14:textId="77777777" w:rsidR="004E6424" w:rsidRPr="004E6424" w:rsidRDefault="004E6424" w:rsidP="004E6424">
      <w:pPr>
        <w:jc w:val="both"/>
        <w:rPr>
          <w:i/>
          <w:color w:val="000000"/>
          <w:sz w:val="28"/>
          <w:lang w:eastAsia="cs-CZ"/>
        </w:rPr>
      </w:pPr>
      <w:r w:rsidRPr="004E6424">
        <w:rPr>
          <w:b/>
          <w:i/>
          <w:color w:val="000000"/>
          <w:sz w:val="28"/>
          <w:lang w:eastAsia="cs-CZ"/>
        </w:rPr>
        <w:t>Условия хранения</w:t>
      </w:r>
      <w:r w:rsidRPr="004E6424">
        <w:rPr>
          <w:i/>
          <w:color w:val="000000"/>
          <w:sz w:val="28"/>
          <w:lang w:eastAsia="cs-CZ"/>
        </w:rPr>
        <w:t xml:space="preserve"> </w:t>
      </w:r>
    </w:p>
    <w:p w14:paraId="4AC451C4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 xml:space="preserve">Хранить в сухом, защищенном от света месте при температуре не выше </w:t>
      </w:r>
    </w:p>
    <w:p w14:paraId="6881AE5B" w14:textId="77777777" w:rsidR="004E6424" w:rsidRPr="004E6424" w:rsidRDefault="001C7441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30</w:t>
      </w:r>
      <w:r w:rsidR="004E6424" w:rsidRPr="004E6424">
        <w:rPr>
          <w:color w:val="000000"/>
          <w:sz w:val="28"/>
          <w:lang w:eastAsia="cs-CZ"/>
        </w:rPr>
        <w:t xml:space="preserve"> </w:t>
      </w:r>
      <w:r w:rsidR="004E6424" w:rsidRPr="004E6424">
        <w:rPr>
          <w:color w:val="000000"/>
          <w:sz w:val="28"/>
          <w:vertAlign w:val="superscript"/>
          <w:lang w:eastAsia="cs-CZ"/>
        </w:rPr>
        <w:t>0</w:t>
      </w:r>
      <w:r w:rsidR="004E6424" w:rsidRPr="004E6424">
        <w:rPr>
          <w:color w:val="000000"/>
          <w:sz w:val="28"/>
          <w:lang w:eastAsia="cs-CZ"/>
        </w:rPr>
        <w:t xml:space="preserve">С. </w:t>
      </w:r>
    </w:p>
    <w:p w14:paraId="520AD750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Хранить в недоступном для детей месте!</w:t>
      </w:r>
    </w:p>
    <w:p w14:paraId="04F2F461" w14:textId="77777777" w:rsidR="00CE0020" w:rsidRPr="00407ACE" w:rsidRDefault="00CE0020" w:rsidP="00454FB8">
      <w:pPr>
        <w:jc w:val="both"/>
        <w:rPr>
          <w:color w:val="000000"/>
          <w:sz w:val="28"/>
          <w:lang w:eastAsia="cs-CZ"/>
        </w:rPr>
      </w:pPr>
    </w:p>
    <w:p w14:paraId="7795D852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Условия отпуска из аптек</w:t>
      </w:r>
      <w:r w:rsidRPr="004E6424">
        <w:rPr>
          <w:color w:val="000000"/>
          <w:sz w:val="28"/>
          <w:lang w:eastAsia="cs-CZ"/>
        </w:rPr>
        <w:t xml:space="preserve"> </w:t>
      </w:r>
    </w:p>
    <w:p w14:paraId="4A98ACA3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По рецепту</w:t>
      </w:r>
    </w:p>
    <w:p w14:paraId="5E23C3F4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1D214035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Сведения о производителе </w:t>
      </w:r>
    </w:p>
    <w:p w14:paraId="1FA8FF8E" w14:textId="77777777" w:rsidR="00CD251F" w:rsidRPr="00407ACE" w:rsidRDefault="00CD251F" w:rsidP="00CD251F">
      <w:pPr>
        <w:jc w:val="both"/>
        <w:rPr>
          <w:bCs/>
          <w:iCs/>
          <w:color w:val="000000"/>
          <w:sz w:val="28"/>
          <w:lang w:eastAsia="cs-CZ"/>
        </w:rPr>
      </w:pPr>
      <w:r w:rsidRPr="00CD251F">
        <w:rPr>
          <w:bCs/>
          <w:iCs/>
          <w:color w:val="000000"/>
          <w:sz w:val="28"/>
          <w:lang w:val="en-US" w:eastAsia="cs-CZ"/>
        </w:rPr>
        <w:lastRenderedPageBreak/>
        <w:t>Laurus</w:t>
      </w:r>
      <w:r w:rsidRPr="00407ACE">
        <w:rPr>
          <w:bCs/>
          <w:iCs/>
          <w:color w:val="000000"/>
          <w:sz w:val="28"/>
          <w:lang w:eastAsia="cs-CZ"/>
        </w:rPr>
        <w:t xml:space="preserve"> </w:t>
      </w:r>
      <w:r w:rsidRPr="00CD251F">
        <w:rPr>
          <w:bCs/>
          <w:iCs/>
          <w:color w:val="000000"/>
          <w:sz w:val="28"/>
          <w:lang w:val="en-US" w:eastAsia="cs-CZ"/>
        </w:rPr>
        <w:t>Labs</w:t>
      </w:r>
      <w:r w:rsidRPr="00407ACE">
        <w:rPr>
          <w:bCs/>
          <w:iCs/>
          <w:color w:val="000000"/>
          <w:sz w:val="28"/>
          <w:lang w:eastAsia="cs-CZ"/>
        </w:rPr>
        <w:t xml:space="preserve"> </w:t>
      </w:r>
      <w:r w:rsidRPr="00CD251F">
        <w:rPr>
          <w:bCs/>
          <w:iCs/>
          <w:color w:val="000000"/>
          <w:sz w:val="28"/>
          <w:lang w:val="en-US" w:eastAsia="cs-CZ"/>
        </w:rPr>
        <w:t>Limited</w:t>
      </w:r>
      <w:r w:rsidRPr="00407ACE">
        <w:rPr>
          <w:bCs/>
          <w:iCs/>
          <w:color w:val="000000"/>
          <w:sz w:val="28"/>
          <w:lang w:eastAsia="cs-CZ"/>
        </w:rPr>
        <w:t xml:space="preserve"> (</w:t>
      </w:r>
      <w:r w:rsidRPr="00CD251F">
        <w:rPr>
          <w:bCs/>
          <w:iCs/>
          <w:color w:val="000000"/>
          <w:sz w:val="28"/>
          <w:lang w:val="en-US" w:eastAsia="cs-CZ"/>
        </w:rPr>
        <w:t>Unit</w:t>
      </w:r>
      <w:r w:rsidRPr="00407ACE">
        <w:rPr>
          <w:bCs/>
          <w:iCs/>
          <w:color w:val="000000"/>
          <w:sz w:val="28"/>
          <w:lang w:eastAsia="cs-CZ"/>
        </w:rPr>
        <w:t>-</w:t>
      </w:r>
      <w:r w:rsidRPr="00CD251F">
        <w:rPr>
          <w:bCs/>
          <w:iCs/>
          <w:color w:val="000000"/>
          <w:sz w:val="28"/>
          <w:lang w:val="en-US" w:eastAsia="cs-CZ"/>
        </w:rPr>
        <w:t>II</w:t>
      </w:r>
      <w:r w:rsidRPr="00407ACE">
        <w:rPr>
          <w:bCs/>
          <w:iCs/>
          <w:color w:val="000000"/>
          <w:sz w:val="28"/>
          <w:lang w:eastAsia="cs-CZ"/>
        </w:rPr>
        <w:t xml:space="preserve">), </w:t>
      </w:r>
    </w:p>
    <w:p w14:paraId="3160BD4F" w14:textId="77777777" w:rsidR="00CD251F" w:rsidRPr="00407ACE" w:rsidRDefault="00CD251F" w:rsidP="00CD251F">
      <w:pPr>
        <w:jc w:val="both"/>
        <w:rPr>
          <w:bCs/>
          <w:iCs/>
          <w:color w:val="000000"/>
          <w:sz w:val="28"/>
          <w:lang w:val="en-US" w:eastAsia="cs-CZ"/>
        </w:rPr>
      </w:pPr>
      <w:r w:rsidRPr="00CD251F">
        <w:rPr>
          <w:bCs/>
          <w:iCs/>
          <w:color w:val="000000"/>
          <w:sz w:val="28"/>
          <w:lang w:val="en-US" w:eastAsia="cs-CZ"/>
        </w:rPr>
        <w:t xml:space="preserve">Plot No.: 19, 20 &amp; 21, Western Sector, APSEZ, </w:t>
      </w:r>
      <w:proofErr w:type="spellStart"/>
      <w:r w:rsidRPr="00CD251F">
        <w:rPr>
          <w:bCs/>
          <w:iCs/>
          <w:color w:val="000000"/>
          <w:sz w:val="28"/>
          <w:lang w:val="en-US" w:eastAsia="cs-CZ"/>
        </w:rPr>
        <w:t>Atchutapuram</w:t>
      </w:r>
      <w:proofErr w:type="spellEnd"/>
      <w:r w:rsidRPr="00CD251F">
        <w:rPr>
          <w:bCs/>
          <w:iCs/>
          <w:color w:val="000000"/>
          <w:sz w:val="28"/>
          <w:lang w:val="en-US" w:eastAsia="cs-CZ"/>
        </w:rPr>
        <w:t xml:space="preserve"> Mandal, Visakhapatnam District – 531011, Andhra Pradesh, </w:t>
      </w:r>
      <w:proofErr w:type="spellStart"/>
      <w:r w:rsidRPr="00CD251F">
        <w:rPr>
          <w:bCs/>
          <w:iCs/>
          <w:color w:val="000000"/>
          <w:sz w:val="28"/>
          <w:lang w:val="en-US" w:eastAsia="cs-CZ"/>
        </w:rPr>
        <w:t>Индия</w:t>
      </w:r>
      <w:proofErr w:type="spellEnd"/>
      <w:r w:rsidRPr="00CD251F">
        <w:rPr>
          <w:bCs/>
          <w:iCs/>
          <w:color w:val="000000"/>
          <w:sz w:val="28"/>
          <w:lang w:val="en-US" w:eastAsia="cs-CZ"/>
        </w:rPr>
        <w:t>.</w:t>
      </w:r>
    </w:p>
    <w:p w14:paraId="674B478E" w14:textId="77777777" w:rsidR="00E7228E" w:rsidRDefault="00E7228E" w:rsidP="00CD251F">
      <w:pPr>
        <w:jc w:val="both"/>
        <w:rPr>
          <w:rFonts w:eastAsia="Consolas"/>
          <w:bCs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eastAsia="en-US"/>
        </w:rPr>
        <w:t>Т</w:t>
      </w:r>
      <w:r w:rsidRPr="00E7228E">
        <w:rPr>
          <w:rFonts w:eastAsia="Consolas"/>
          <w:sz w:val="28"/>
          <w:szCs w:val="28"/>
          <w:lang w:eastAsia="en-US"/>
        </w:rPr>
        <w:t>ел</w:t>
      </w:r>
      <w:r w:rsidRPr="00CD251F">
        <w:rPr>
          <w:rFonts w:eastAsia="Consolas"/>
          <w:sz w:val="28"/>
          <w:szCs w:val="28"/>
          <w:lang w:eastAsia="en-US"/>
        </w:rPr>
        <w:t xml:space="preserve">. </w:t>
      </w:r>
      <w:r w:rsidR="00CD251F" w:rsidRPr="00CD251F">
        <w:rPr>
          <w:rFonts w:eastAsia="Consolas"/>
          <w:bCs/>
          <w:sz w:val="28"/>
          <w:szCs w:val="28"/>
          <w:lang w:eastAsia="en-US"/>
        </w:rPr>
        <w:t>+914039804333/23420500/501</w:t>
      </w:r>
      <w:r w:rsidRPr="00CD251F">
        <w:rPr>
          <w:rFonts w:eastAsia="Consolas"/>
          <w:bCs/>
          <w:sz w:val="28"/>
          <w:szCs w:val="28"/>
          <w:lang w:eastAsia="en-US"/>
        </w:rPr>
        <w:t xml:space="preserve">, </w:t>
      </w:r>
      <w:r w:rsidRPr="00E7228E">
        <w:rPr>
          <w:rFonts w:eastAsia="Consolas"/>
          <w:sz w:val="28"/>
          <w:szCs w:val="28"/>
          <w:lang w:eastAsia="en-US"/>
        </w:rPr>
        <w:t>электронный</w:t>
      </w:r>
      <w:r w:rsidRPr="00CD251F">
        <w:rPr>
          <w:rFonts w:eastAsia="Consolas"/>
          <w:sz w:val="28"/>
          <w:szCs w:val="28"/>
          <w:lang w:eastAsia="en-US"/>
        </w:rPr>
        <w:t xml:space="preserve"> </w:t>
      </w:r>
      <w:r w:rsidRPr="00E7228E">
        <w:rPr>
          <w:rFonts w:eastAsia="Consolas"/>
          <w:sz w:val="28"/>
          <w:szCs w:val="28"/>
          <w:lang w:eastAsia="en-US"/>
        </w:rPr>
        <w:t>адрес</w:t>
      </w:r>
      <w:r w:rsidRPr="00CD251F">
        <w:rPr>
          <w:rFonts w:eastAsia="Consolas"/>
          <w:sz w:val="28"/>
          <w:szCs w:val="28"/>
          <w:lang w:eastAsia="en-US"/>
        </w:rPr>
        <w:t xml:space="preserve"> </w:t>
      </w:r>
      <w:hyperlink r:id="rId8" w:history="1">
        <w:r w:rsidR="00166694" w:rsidRPr="00262115">
          <w:rPr>
            <w:rStyle w:val="ad"/>
            <w:rFonts w:eastAsia="Consolas"/>
            <w:bCs/>
            <w:sz w:val="28"/>
            <w:szCs w:val="28"/>
            <w:lang w:val="en-US" w:eastAsia="en-US"/>
          </w:rPr>
          <w:t>info</w:t>
        </w:r>
        <w:r w:rsidR="00166694" w:rsidRPr="00262115">
          <w:rPr>
            <w:rStyle w:val="ad"/>
            <w:rFonts w:eastAsia="Consolas"/>
            <w:bCs/>
            <w:sz w:val="28"/>
            <w:szCs w:val="28"/>
            <w:lang w:eastAsia="en-US"/>
          </w:rPr>
          <w:t>@</w:t>
        </w:r>
        <w:proofErr w:type="spellStart"/>
        <w:r w:rsidR="00166694" w:rsidRPr="00262115">
          <w:rPr>
            <w:rStyle w:val="ad"/>
            <w:rFonts w:eastAsia="Consolas"/>
            <w:bCs/>
            <w:sz w:val="28"/>
            <w:szCs w:val="28"/>
            <w:lang w:val="en-US" w:eastAsia="en-US"/>
          </w:rPr>
          <w:t>lauruslabs</w:t>
        </w:r>
        <w:proofErr w:type="spellEnd"/>
        <w:r w:rsidR="00166694" w:rsidRPr="00262115">
          <w:rPr>
            <w:rStyle w:val="ad"/>
            <w:rFonts w:eastAsia="Consolas"/>
            <w:bCs/>
            <w:sz w:val="28"/>
            <w:szCs w:val="28"/>
            <w:lang w:eastAsia="en-US"/>
          </w:rPr>
          <w:t>.</w:t>
        </w:r>
        <w:r w:rsidR="00166694" w:rsidRPr="00262115">
          <w:rPr>
            <w:rStyle w:val="ad"/>
            <w:rFonts w:eastAsia="Consolas"/>
            <w:bCs/>
            <w:sz w:val="28"/>
            <w:szCs w:val="28"/>
            <w:lang w:val="en-US" w:eastAsia="en-US"/>
          </w:rPr>
          <w:t>com</w:t>
        </w:r>
      </w:hyperlink>
    </w:p>
    <w:p w14:paraId="4E04F3D8" w14:textId="77777777" w:rsidR="00166694" w:rsidRPr="00534607" w:rsidRDefault="00166694" w:rsidP="00CD251F">
      <w:pPr>
        <w:jc w:val="both"/>
        <w:rPr>
          <w:rFonts w:eastAsia="Consolas"/>
          <w:bCs/>
          <w:sz w:val="28"/>
          <w:szCs w:val="28"/>
          <w:lang w:eastAsia="en-US"/>
        </w:rPr>
      </w:pPr>
    </w:p>
    <w:p w14:paraId="2F0B7678" w14:textId="77777777" w:rsidR="00CC3219" w:rsidRPr="00534607" w:rsidRDefault="00CC3219" w:rsidP="00CD251F">
      <w:pPr>
        <w:jc w:val="both"/>
        <w:rPr>
          <w:rFonts w:eastAsia="Consolas"/>
          <w:bCs/>
          <w:sz w:val="28"/>
          <w:szCs w:val="28"/>
          <w:lang w:eastAsia="en-US"/>
        </w:rPr>
      </w:pPr>
    </w:p>
    <w:p w14:paraId="65CC9AA1" w14:textId="77777777" w:rsidR="00166694" w:rsidRPr="00166694" w:rsidRDefault="00166694" w:rsidP="00166694">
      <w:pPr>
        <w:jc w:val="both"/>
        <w:rPr>
          <w:b/>
          <w:bCs/>
          <w:iCs/>
          <w:color w:val="000000"/>
          <w:sz w:val="28"/>
          <w:szCs w:val="28"/>
          <w:lang w:eastAsia="cs-CZ"/>
        </w:rPr>
      </w:pPr>
      <w:r>
        <w:rPr>
          <w:b/>
          <w:bCs/>
          <w:iCs/>
          <w:color w:val="000000"/>
          <w:sz w:val="28"/>
          <w:szCs w:val="28"/>
          <w:lang w:eastAsia="cs-CZ"/>
        </w:rPr>
        <w:t>Держатель регистрационного удостоверения</w:t>
      </w:r>
      <w:r w:rsidRPr="00166694">
        <w:rPr>
          <w:b/>
          <w:bCs/>
          <w:iCs/>
          <w:color w:val="000000"/>
          <w:sz w:val="28"/>
          <w:szCs w:val="28"/>
          <w:lang w:eastAsia="cs-CZ"/>
        </w:rPr>
        <w:t xml:space="preserve"> </w:t>
      </w:r>
    </w:p>
    <w:p w14:paraId="755505CD" w14:textId="77777777" w:rsidR="00166694" w:rsidRPr="00166694" w:rsidRDefault="00166694" w:rsidP="00166694">
      <w:pPr>
        <w:jc w:val="both"/>
        <w:rPr>
          <w:bCs/>
          <w:iCs/>
          <w:color w:val="000000"/>
          <w:sz w:val="28"/>
          <w:szCs w:val="28"/>
          <w:lang w:eastAsia="cs-CZ"/>
        </w:rPr>
      </w:pPr>
      <w:r w:rsidRPr="00166694">
        <w:rPr>
          <w:bCs/>
          <w:iCs/>
          <w:color w:val="000000"/>
          <w:sz w:val="28"/>
          <w:szCs w:val="28"/>
          <w:lang w:val="en-US" w:eastAsia="cs-CZ"/>
        </w:rPr>
        <w:t>Laurus</w:t>
      </w:r>
      <w:r w:rsidRPr="00166694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166694">
        <w:rPr>
          <w:bCs/>
          <w:iCs/>
          <w:color w:val="000000"/>
          <w:sz w:val="28"/>
          <w:szCs w:val="28"/>
          <w:lang w:val="en-US" w:eastAsia="cs-CZ"/>
        </w:rPr>
        <w:t>Labs</w:t>
      </w:r>
      <w:r w:rsidRPr="00166694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166694">
        <w:rPr>
          <w:bCs/>
          <w:iCs/>
          <w:color w:val="000000"/>
          <w:sz w:val="28"/>
          <w:szCs w:val="28"/>
          <w:lang w:val="en-US" w:eastAsia="cs-CZ"/>
        </w:rPr>
        <w:t>Limited</w:t>
      </w:r>
      <w:r w:rsidRPr="00166694">
        <w:rPr>
          <w:bCs/>
          <w:iCs/>
          <w:color w:val="000000"/>
          <w:sz w:val="28"/>
          <w:szCs w:val="28"/>
          <w:lang w:eastAsia="cs-CZ"/>
        </w:rPr>
        <w:t xml:space="preserve"> (</w:t>
      </w:r>
      <w:r w:rsidRPr="00166694">
        <w:rPr>
          <w:bCs/>
          <w:iCs/>
          <w:color w:val="000000"/>
          <w:sz w:val="28"/>
          <w:szCs w:val="28"/>
          <w:lang w:val="en-US" w:eastAsia="cs-CZ"/>
        </w:rPr>
        <w:t>Unit</w:t>
      </w:r>
      <w:r w:rsidRPr="00166694">
        <w:rPr>
          <w:bCs/>
          <w:iCs/>
          <w:color w:val="000000"/>
          <w:sz w:val="28"/>
          <w:szCs w:val="28"/>
          <w:lang w:eastAsia="cs-CZ"/>
        </w:rPr>
        <w:t>-</w:t>
      </w:r>
      <w:r w:rsidRPr="00166694">
        <w:rPr>
          <w:bCs/>
          <w:iCs/>
          <w:color w:val="000000"/>
          <w:sz w:val="28"/>
          <w:szCs w:val="28"/>
          <w:lang w:val="en-US" w:eastAsia="cs-CZ"/>
        </w:rPr>
        <w:t>II</w:t>
      </w:r>
      <w:r w:rsidRPr="00166694">
        <w:rPr>
          <w:bCs/>
          <w:iCs/>
          <w:color w:val="000000"/>
          <w:sz w:val="28"/>
          <w:szCs w:val="28"/>
          <w:lang w:eastAsia="cs-CZ"/>
        </w:rPr>
        <w:t xml:space="preserve">), </w:t>
      </w:r>
    </w:p>
    <w:p w14:paraId="59CC7837" w14:textId="77777777" w:rsidR="00166694" w:rsidRPr="00166694" w:rsidRDefault="00166694" w:rsidP="00166694">
      <w:pPr>
        <w:jc w:val="both"/>
        <w:rPr>
          <w:bCs/>
          <w:iCs/>
          <w:color w:val="000000"/>
          <w:sz w:val="28"/>
          <w:szCs w:val="28"/>
          <w:lang w:val="en-US" w:eastAsia="cs-CZ"/>
        </w:rPr>
      </w:pPr>
      <w:r w:rsidRPr="00166694">
        <w:rPr>
          <w:bCs/>
          <w:iCs/>
          <w:color w:val="000000"/>
          <w:sz w:val="28"/>
          <w:szCs w:val="28"/>
          <w:lang w:val="en-US" w:eastAsia="cs-CZ"/>
        </w:rPr>
        <w:t xml:space="preserve">Plot No.: 19, 20 &amp; 21, Western Sector, APSEZ, </w:t>
      </w:r>
      <w:proofErr w:type="spellStart"/>
      <w:r w:rsidRPr="00166694">
        <w:rPr>
          <w:bCs/>
          <w:iCs/>
          <w:color w:val="000000"/>
          <w:sz w:val="28"/>
          <w:szCs w:val="28"/>
          <w:lang w:val="en-US" w:eastAsia="cs-CZ"/>
        </w:rPr>
        <w:t>Atchutapuram</w:t>
      </w:r>
      <w:proofErr w:type="spellEnd"/>
      <w:r w:rsidRPr="00166694">
        <w:rPr>
          <w:bCs/>
          <w:iCs/>
          <w:color w:val="000000"/>
          <w:sz w:val="28"/>
          <w:szCs w:val="28"/>
          <w:lang w:val="en-US" w:eastAsia="cs-CZ"/>
        </w:rPr>
        <w:t xml:space="preserve"> Mandal, Visakhapatnam District – 531011, Andhra Pradesh, </w:t>
      </w:r>
      <w:proofErr w:type="spellStart"/>
      <w:r w:rsidRPr="00166694">
        <w:rPr>
          <w:bCs/>
          <w:iCs/>
          <w:color w:val="000000"/>
          <w:sz w:val="28"/>
          <w:szCs w:val="28"/>
          <w:lang w:val="en-US" w:eastAsia="cs-CZ"/>
        </w:rPr>
        <w:t>Индия</w:t>
      </w:r>
      <w:proofErr w:type="spellEnd"/>
      <w:r w:rsidRPr="00166694">
        <w:rPr>
          <w:bCs/>
          <w:iCs/>
          <w:color w:val="000000"/>
          <w:sz w:val="28"/>
          <w:szCs w:val="28"/>
          <w:lang w:val="en-US" w:eastAsia="cs-CZ"/>
        </w:rPr>
        <w:t>.</w:t>
      </w:r>
    </w:p>
    <w:p w14:paraId="142CC1CE" w14:textId="77777777" w:rsidR="00166694" w:rsidRPr="00166694" w:rsidRDefault="00166694" w:rsidP="00CD251F">
      <w:pPr>
        <w:jc w:val="both"/>
        <w:rPr>
          <w:bCs/>
          <w:iCs/>
          <w:color w:val="000000"/>
          <w:sz w:val="28"/>
          <w:szCs w:val="28"/>
          <w:lang w:val="kk-KZ" w:eastAsia="cs-CZ"/>
        </w:rPr>
      </w:pPr>
      <w:r w:rsidRPr="00166694">
        <w:rPr>
          <w:bCs/>
          <w:iCs/>
          <w:color w:val="000000"/>
          <w:sz w:val="28"/>
          <w:szCs w:val="28"/>
          <w:lang w:eastAsia="cs-CZ"/>
        </w:rPr>
        <w:t xml:space="preserve">Тел. +914039804333/23420500/501, электронный адрес </w:t>
      </w:r>
      <w:hyperlink r:id="rId9" w:history="1">
        <w:r w:rsidRPr="00166694">
          <w:rPr>
            <w:rStyle w:val="ad"/>
            <w:bCs/>
            <w:iCs/>
            <w:sz w:val="28"/>
            <w:szCs w:val="28"/>
            <w:lang w:val="en-US" w:eastAsia="cs-CZ"/>
          </w:rPr>
          <w:t>info</w:t>
        </w:r>
        <w:r w:rsidRPr="00166694">
          <w:rPr>
            <w:rStyle w:val="ad"/>
            <w:bCs/>
            <w:iCs/>
            <w:sz w:val="28"/>
            <w:szCs w:val="28"/>
            <w:lang w:eastAsia="cs-CZ"/>
          </w:rPr>
          <w:t>@</w:t>
        </w:r>
        <w:proofErr w:type="spellStart"/>
        <w:r w:rsidRPr="00166694">
          <w:rPr>
            <w:rStyle w:val="ad"/>
            <w:bCs/>
            <w:iCs/>
            <w:sz w:val="28"/>
            <w:szCs w:val="28"/>
            <w:lang w:val="en-US" w:eastAsia="cs-CZ"/>
          </w:rPr>
          <w:t>lauruslabs</w:t>
        </w:r>
        <w:proofErr w:type="spellEnd"/>
        <w:r w:rsidRPr="00166694">
          <w:rPr>
            <w:rStyle w:val="ad"/>
            <w:bCs/>
            <w:iCs/>
            <w:sz w:val="28"/>
            <w:szCs w:val="28"/>
            <w:lang w:eastAsia="cs-CZ"/>
          </w:rPr>
          <w:t>.</w:t>
        </w:r>
        <w:r w:rsidRPr="00166694">
          <w:rPr>
            <w:rStyle w:val="ad"/>
            <w:bCs/>
            <w:iCs/>
            <w:sz w:val="28"/>
            <w:szCs w:val="28"/>
            <w:lang w:val="en-US" w:eastAsia="cs-CZ"/>
          </w:rPr>
          <w:t>com</w:t>
        </w:r>
      </w:hyperlink>
    </w:p>
    <w:p w14:paraId="1413BDED" w14:textId="77777777" w:rsidR="00E7228E" w:rsidRDefault="00E7228E" w:rsidP="004E6424">
      <w:pPr>
        <w:jc w:val="both"/>
        <w:rPr>
          <w:b/>
          <w:color w:val="000000"/>
          <w:sz w:val="28"/>
          <w:lang w:val="uk-UA" w:eastAsia="cs-CZ"/>
        </w:rPr>
      </w:pPr>
    </w:p>
    <w:p w14:paraId="5469E884" w14:textId="77777777" w:rsidR="00166694" w:rsidRDefault="00166694" w:rsidP="00E7228E">
      <w:pPr>
        <w:jc w:val="both"/>
        <w:rPr>
          <w:b/>
          <w:color w:val="000000"/>
          <w:sz w:val="28"/>
          <w:lang w:val="uk-UA" w:eastAsia="cs-CZ"/>
        </w:rPr>
      </w:pPr>
      <w:proofErr w:type="spellStart"/>
      <w:r w:rsidRPr="00166694">
        <w:rPr>
          <w:b/>
          <w:color w:val="000000"/>
          <w:sz w:val="28"/>
          <w:lang w:val="uk-UA" w:eastAsia="cs-CZ"/>
        </w:rPr>
        <w:t>Наименование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, адрес и </w:t>
      </w:r>
      <w:proofErr w:type="spellStart"/>
      <w:r w:rsidRPr="00166694">
        <w:rPr>
          <w:b/>
          <w:color w:val="000000"/>
          <w:sz w:val="28"/>
          <w:lang w:val="uk-UA" w:eastAsia="cs-CZ"/>
        </w:rPr>
        <w:t>контактные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данные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 (телефон,  факс,  </w:t>
      </w:r>
      <w:proofErr w:type="spellStart"/>
      <w:r w:rsidRPr="00166694">
        <w:rPr>
          <w:b/>
          <w:color w:val="000000"/>
          <w:sz w:val="28"/>
          <w:lang w:val="uk-UA" w:eastAsia="cs-CZ"/>
        </w:rPr>
        <w:t>электронная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 </w:t>
      </w:r>
      <w:proofErr w:type="spellStart"/>
      <w:r w:rsidRPr="00166694">
        <w:rPr>
          <w:b/>
          <w:color w:val="000000"/>
          <w:sz w:val="28"/>
          <w:lang w:val="uk-UA" w:eastAsia="cs-CZ"/>
        </w:rPr>
        <w:t>почта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) </w:t>
      </w:r>
      <w:proofErr w:type="spellStart"/>
      <w:r w:rsidRPr="00166694">
        <w:rPr>
          <w:b/>
          <w:color w:val="000000"/>
          <w:sz w:val="28"/>
          <w:lang w:val="uk-UA" w:eastAsia="cs-CZ"/>
        </w:rPr>
        <w:t>организации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на </w:t>
      </w:r>
      <w:proofErr w:type="spellStart"/>
      <w:r w:rsidRPr="00166694">
        <w:rPr>
          <w:b/>
          <w:color w:val="000000"/>
          <w:sz w:val="28"/>
          <w:lang w:val="uk-UA" w:eastAsia="cs-CZ"/>
        </w:rPr>
        <w:t>территории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Республики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Казахстан, </w:t>
      </w:r>
      <w:proofErr w:type="spellStart"/>
      <w:r w:rsidRPr="00166694">
        <w:rPr>
          <w:b/>
          <w:color w:val="000000"/>
          <w:sz w:val="28"/>
          <w:lang w:val="uk-UA" w:eastAsia="cs-CZ"/>
        </w:rPr>
        <w:t>принимающей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претензии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(</w:t>
      </w:r>
      <w:proofErr w:type="spellStart"/>
      <w:r w:rsidRPr="00166694">
        <w:rPr>
          <w:b/>
          <w:color w:val="000000"/>
          <w:sz w:val="28"/>
          <w:lang w:val="uk-UA" w:eastAsia="cs-CZ"/>
        </w:rPr>
        <w:t>предложения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)  по </w:t>
      </w:r>
      <w:proofErr w:type="spellStart"/>
      <w:r w:rsidRPr="00166694">
        <w:rPr>
          <w:b/>
          <w:color w:val="000000"/>
          <w:sz w:val="28"/>
          <w:lang w:val="uk-UA" w:eastAsia="cs-CZ"/>
        </w:rPr>
        <w:t>качеству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лекарственных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 </w:t>
      </w:r>
      <w:proofErr w:type="spellStart"/>
      <w:r w:rsidRPr="00166694">
        <w:rPr>
          <w:b/>
          <w:color w:val="000000"/>
          <w:sz w:val="28"/>
          <w:lang w:val="uk-UA" w:eastAsia="cs-CZ"/>
        </w:rPr>
        <w:t>средств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 от </w:t>
      </w:r>
      <w:proofErr w:type="spellStart"/>
      <w:r w:rsidRPr="00166694">
        <w:rPr>
          <w:b/>
          <w:color w:val="000000"/>
          <w:sz w:val="28"/>
          <w:lang w:val="uk-UA" w:eastAsia="cs-CZ"/>
        </w:rPr>
        <w:t>потребителей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и  </w:t>
      </w:r>
      <w:proofErr w:type="spellStart"/>
      <w:r w:rsidRPr="00166694">
        <w:rPr>
          <w:b/>
          <w:color w:val="000000"/>
          <w:sz w:val="28"/>
          <w:lang w:val="uk-UA" w:eastAsia="cs-CZ"/>
        </w:rPr>
        <w:t>ответственной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за </w:t>
      </w:r>
      <w:proofErr w:type="spellStart"/>
      <w:r w:rsidRPr="00166694">
        <w:rPr>
          <w:b/>
          <w:color w:val="000000"/>
          <w:sz w:val="28"/>
          <w:lang w:val="uk-UA" w:eastAsia="cs-CZ"/>
        </w:rPr>
        <w:t>пострегистрационное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наблюдение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за </w:t>
      </w:r>
      <w:proofErr w:type="spellStart"/>
      <w:r w:rsidRPr="00166694">
        <w:rPr>
          <w:b/>
          <w:color w:val="000000"/>
          <w:sz w:val="28"/>
          <w:lang w:val="uk-UA" w:eastAsia="cs-CZ"/>
        </w:rPr>
        <w:t>безопасностью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лекарственного</w:t>
      </w:r>
      <w:proofErr w:type="spellEnd"/>
      <w:r w:rsidRPr="0016669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166694">
        <w:rPr>
          <w:b/>
          <w:color w:val="000000"/>
          <w:sz w:val="28"/>
          <w:lang w:val="uk-UA" w:eastAsia="cs-CZ"/>
        </w:rPr>
        <w:t>средства</w:t>
      </w:r>
      <w:proofErr w:type="spellEnd"/>
    </w:p>
    <w:p w14:paraId="7E09EB5D" w14:textId="77777777" w:rsidR="009700C3" w:rsidRDefault="00CD251F" w:rsidP="00E7228E">
      <w:pPr>
        <w:jc w:val="both"/>
        <w:rPr>
          <w:bCs/>
          <w:iCs/>
          <w:color w:val="000000"/>
          <w:sz w:val="28"/>
          <w:lang w:eastAsia="cs-CZ"/>
        </w:rPr>
      </w:pPr>
      <w:proofErr w:type="spellStart"/>
      <w:r>
        <w:rPr>
          <w:bCs/>
          <w:iCs/>
          <w:color w:val="000000"/>
          <w:sz w:val="28"/>
          <w:lang w:eastAsia="cs-CZ"/>
        </w:rPr>
        <w:t>Канумуру</w:t>
      </w:r>
      <w:proofErr w:type="spellEnd"/>
      <w:r>
        <w:rPr>
          <w:bCs/>
          <w:iCs/>
          <w:color w:val="000000"/>
          <w:sz w:val="28"/>
          <w:lang w:eastAsia="cs-CZ"/>
        </w:rPr>
        <w:t xml:space="preserve"> И. Г.</w:t>
      </w:r>
      <w:r w:rsidR="00E7228E" w:rsidRPr="00E7228E">
        <w:rPr>
          <w:bCs/>
          <w:iCs/>
          <w:color w:val="000000"/>
          <w:sz w:val="28"/>
          <w:lang w:val="de-DE" w:eastAsia="cs-CZ"/>
        </w:rPr>
        <w:t xml:space="preserve">, </w:t>
      </w:r>
    </w:p>
    <w:p w14:paraId="5D973FB3" w14:textId="77777777" w:rsidR="00E7228E" w:rsidRPr="00E7228E" w:rsidRDefault="00E7228E" w:rsidP="00E7228E">
      <w:pPr>
        <w:jc w:val="both"/>
        <w:rPr>
          <w:bCs/>
          <w:iCs/>
          <w:color w:val="000000"/>
          <w:sz w:val="28"/>
          <w:lang w:eastAsia="cs-CZ"/>
        </w:rPr>
      </w:pPr>
      <w:r w:rsidRPr="00E7228E">
        <w:rPr>
          <w:bCs/>
          <w:iCs/>
          <w:color w:val="000000"/>
          <w:sz w:val="28"/>
          <w:lang w:eastAsia="cs-CZ"/>
        </w:rPr>
        <w:t>Казахстан</w:t>
      </w:r>
      <w:r w:rsidRPr="00E7228E">
        <w:rPr>
          <w:bCs/>
          <w:iCs/>
          <w:color w:val="000000"/>
          <w:sz w:val="28"/>
          <w:lang w:val="de-DE" w:eastAsia="cs-CZ"/>
        </w:rPr>
        <w:t xml:space="preserve">, 050043, </w:t>
      </w:r>
      <w:r w:rsidRPr="00E7228E">
        <w:rPr>
          <w:bCs/>
          <w:iCs/>
          <w:color w:val="000000"/>
          <w:sz w:val="28"/>
          <w:lang w:eastAsia="cs-CZ"/>
        </w:rPr>
        <w:t>г</w:t>
      </w:r>
      <w:r w:rsidRPr="00E7228E">
        <w:rPr>
          <w:bCs/>
          <w:iCs/>
          <w:color w:val="000000"/>
          <w:sz w:val="28"/>
          <w:lang w:val="de-DE" w:eastAsia="cs-CZ"/>
        </w:rPr>
        <w:t xml:space="preserve">. </w:t>
      </w:r>
      <w:r w:rsidRPr="00E7228E">
        <w:rPr>
          <w:bCs/>
          <w:iCs/>
          <w:color w:val="000000"/>
          <w:sz w:val="28"/>
          <w:lang w:eastAsia="cs-CZ"/>
        </w:rPr>
        <w:t>Алматы</w:t>
      </w:r>
      <w:r w:rsidRPr="00E7228E">
        <w:rPr>
          <w:bCs/>
          <w:iCs/>
          <w:color w:val="000000"/>
          <w:sz w:val="28"/>
          <w:lang w:val="de-DE" w:eastAsia="cs-CZ"/>
        </w:rPr>
        <w:t xml:space="preserve">, </w:t>
      </w:r>
      <w:r w:rsidRPr="00E7228E">
        <w:rPr>
          <w:bCs/>
          <w:iCs/>
          <w:color w:val="000000"/>
          <w:sz w:val="28"/>
          <w:lang w:eastAsia="cs-CZ"/>
        </w:rPr>
        <w:t>мкн</w:t>
      </w:r>
      <w:r w:rsidRPr="00E7228E">
        <w:rPr>
          <w:bCs/>
          <w:iCs/>
          <w:color w:val="000000"/>
          <w:sz w:val="28"/>
          <w:lang w:val="de-DE" w:eastAsia="cs-CZ"/>
        </w:rPr>
        <w:t xml:space="preserve">. </w:t>
      </w:r>
      <w:proofErr w:type="spellStart"/>
      <w:r w:rsidRPr="00E7228E">
        <w:rPr>
          <w:bCs/>
          <w:iCs/>
          <w:color w:val="000000"/>
          <w:sz w:val="28"/>
          <w:lang w:eastAsia="cs-CZ"/>
        </w:rPr>
        <w:t>Мирас</w:t>
      </w:r>
      <w:proofErr w:type="spellEnd"/>
      <w:r w:rsidR="00534607">
        <w:rPr>
          <w:bCs/>
          <w:iCs/>
          <w:color w:val="000000"/>
          <w:sz w:val="28"/>
          <w:lang w:eastAsia="cs-CZ"/>
        </w:rPr>
        <w:t xml:space="preserve"> 157, </w:t>
      </w:r>
      <w:proofErr w:type="spellStart"/>
      <w:r w:rsidR="00534607">
        <w:rPr>
          <w:bCs/>
          <w:iCs/>
          <w:color w:val="000000"/>
          <w:sz w:val="28"/>
          <w:lang w:eastAsia="cs-CZ"/>
        </w:rPr>
        <w:t>н.п</w:t>
      </w:r>
      <w:proofErr w:type="spellEnd"/>
      <w:r w:rsidR="00534607">
        <w:rPr>
          <w:bCs/>
          <w:iCs/>
          <w:color w:val="000000"/>
          <w:sz w:val="28"/>
          <w:lang w:eastAsia="cs-CZ"/>
        </w:rPr>
        <w:t>. 819</w:t>
      </w:r>
    </w:p>
    <w:p w14:paraId="0E73AC0B" w14:textId="77777777" w:rsidR="00E7228E" w:rsidRPr="003D28F0" w:rsidRDefault="00E7228E" w:rsidP="00E7228E">
      <w:pPr>
        <w:jc w:val="both"/>
        <w:rPr>
          <w:bCs/>
          <w:iCs/>
          <w:color w:val="000000"/>
          <w:sz w:val="28"/>
          <w:lang w:eastAsia="cs-CZ"/>
        </w:rPr>
      </w:pPr>
      <w:r w:rsidRPr="00E7228E">
        <w:rPr>
          <w:bCs/>
          <w:iCs/>
          <w:color w:val="000000"/>
          <w:sz w:val="28"/>
          <w:lang w:eastAsia="cs-CZ"/>
        </w:rPr>
        <w:t>Тел</w:t>
      </w:r>
      <w:r w:rsidRPr="003D28F0">
        <w:rPr>
          <w:bCs/>
          <w:iCs/>
          <w:color w:val="000000"/>
          <w:sz w:val="28"/>
          <w:lang w:eastAsia="cs-CZ"/>
        </w:rPr>
        <w:t xml:space="preserve">. </w:t>
      </w:r>
      <w:r w:rsidR="00E3229B" w:rsidRPr="003D28F0">
        <w:rPr>
          <w:bCs/>
          <w:iCs/>
          <w:color w:val="000000"/>
          <w:sz w:val="28"/>
          <w:lang w:eastAsia="cs-CZ"/>
        </w:rPr>
        <w:t xml:space="preserve">+7 </w:t>
      </w:r>
      <w:r w:rsidRPr="003D28F0">
        <w:rPr>
          <w:bCs/>
          <w:iCs/>
          <w:color w:val="000000"/>
          <w:sz w:val="28"/>
          <w:lang w:eastAsia="cs-CZ"/>
        </w:rPr>
        <w:t xml:space="preserve">(727) 311-81-96/97, </w:t>
      </w:r>
      <w:r w:rsidRPr="00E7228E">
        <w:rPr>
          <w:bCs/>
          <w:iCs/>
          <w:color w:val="000000"/>
          <w:sz w:val="28"/>
          <w:lang w:val="en-US" w:eastAsia="cs-CZ"/>
        </w:rPr>
        <w:t>e</w:t>
      </w:r>
      <w:r w:rsidRPr="003D28F0">
        <w:rPr>
          <w:bCs/>
          <w:iCs/>
          <w:color w:val="000000"/>
          <w:sz w:val="28"/>
          <w:lang w:eastAsia="cs-CZ"/>
        </w:rPr>
        <w:t>-</w:t>
      </w:r>
      <w:r w:rsidRPr="00E7228E">
        <w:rPr>
          <w:bCs/>
          <w:iCs/>
          <w:color w:val="000000"/>
          <w:sz w:val="28"/>
          <w:lang w:val="en-US" w:eastAsia="cs-CZ"/>
        </w:rPr>
        <w:t>mail</w:t>
      </w:r>
      <w:r w:rsidRPr="003D28F0">
        <w:rPr>
          <w:bCs/>
          <w:iCs/>
          <w:color w:val="000000"/>
          <w:sz w:val="28"/>
          <w:lang w:eastAsia="cs-CZ"/>
        </w:rPr>
        <w:t xml:space="preserve">: </w:t>
      </w:r>
      <w:hyperlink r:id="rId10" w:history="1">
        <w:r w:rsidR="00407ACE" w:rsidRPr="004D0483">
          <w:rPr>
            <w:rStyle w:val="ad"/>
            <w:bCs/>
            <w:iCs/>
            <w:sz w:val="28"/>
            <w:lang w:val="en-US" w:eastAsia="cs-CZ"/>
          </w:rPr>
          <w:t>irina</w:t>
        </w:r>
        <w:r w:rsidR="00407ACE" w:rsidRPr="003D28F0">
          <w:rPr>
            <w:rStyle w:val="ad"/>
            <w:bCs/>
            <w:iCs/>
            <w:sz w:val="28"/>
            <w:lang w:eastAsia="cs-CZ"/>
          </w:rPr>
          <w:t>.</w:t>
        </w:r>
        <w:r w:rsidR="00407ACE" w:rsidRPr="004D0483">
          <w:rPr>
            <w:rStyle w:val="ad"/>
            <w:bCs/>
            <w:iCs/>
            <w:sz w:val="28"/>
            <w:lang w:val="en-US" w:eastAsia="cs-CZ"/>
          </w:rPr>
          <w:t>volovnikova</w:t>
        </w:r>
        <w:r w:rsidR="00407ACE" w:rsidRPr="003D28F0">
          <w:rPr>
            <w:rStyle w:val="ad"/>
            <w:bCs/>
            <w:iCs/>
            <w:sz w:val="28"/>
            <w:lang w:eastAsia="cs-CZ"/>
          </w:rPr>
          <w:t>@</w:t>
        </w:r>
        <w:r w:rsidR="00407ACE" w:rsidRPr="004D0483">
          <w:rPr>
            <w:rStyle w:val="ad"/>
            <w:bCs/>
            <w:iCs/>
            <w:sz w:val="28"/>
            <w:lang w:val="en-US" w:eastAsia="cs-CZ"/>
          </w:rPr>
          <w:t>gmail</w:t>
        </w:r>
        <w:r w:rsidR="00407ACE" w:rsidRPr="003D28F0">
          <w:rPr>
            <w:rStyle w:val="ad"/>
            <w:bCs/>
            <w:iCs/>
            <w:sz w:val="28"/>
            <w:lang w:eastAsia="cs-CZ"/>
          </w:rPr>
          <w:t>.</w:t>
        </w:r>
        <w:r w:rsidR="00407ACE" w:rsidRPr="004D0483">
          <w:rPr>
            <w:rStyle w:val="ad"/>
            <w:bCs/>
            <w:iCs/>
            <w:sz w:val="28"/>
            <w:lang w:val="en-US" w:eastAsia="cs-CZ"/>
          </w:rPr>
          <w:t>com</w:t>
        </w:r>
      </w:hyperlink>
      <w:r w:rsidR="00407ACE" w:rsidRPr="003D28F0">
        <w:rPr>
          <w:bCs/>
          <w:iCs/>
          <w:color w:val="000000"/>
          <w:sz w:val="28"/>
          <w:lang w:eastAsia="cs-CZ"/>
        </w:rPr>
        <w:t xml:space="preserve"> </w:t>
      </w:r>
    </w:p>
    <w:p w14:paraId="069BD8B3" w14:textId="77777777" w:rsidR="003F28D5" w:rsidRPr="003D28F0" w:rsidRDefault="003F28D5" w:rsidP="00E7228E">
      <w:pPr>
        <w:autoSpaceDE w:val="0"/>
        <w:autoSpaceDN w:val="0"/>
        <w:jc w:val="both"/>
        <w:rPr>
          <w:sz w:val="28"/>
          <w:szCs w:val="28"/>
        </w:rPr>
      </w:pPr>
    </w:p>
    <w:p w14:paraId="23D4EF12" w14:textId="77777777" w:rsidR="00E2119A" w:rsidRPr="00EF0276" w:rsidRDefault="00E2119A" w:rsidP="00EF0276">
      <w:pPr>
        <w:autoSpaceDE w:val="0"/>
        <w:autoSpaceDN w:val="0"/>
        <w:jc w:val="both"/>
        <w:rPr>
          <w:bCs/>
          <w:iCs/>
          <w:sz w:val="28"/>
          <w:szCs w:val="28"/>
          <w:lang w:val="cs-CZ"/>
        </w:rPr>
      </w:pPr>
    </w:p>
    <w:p w14:paraId="3AE4472D" w14:textId="36CED733" w:rsidR="00BA1886" w:rsidRDefault="00BA1886"/>
    <w:sectPr w:rsidR="00BA1886" w:rsidSect="00EE19A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4993" w14:textId="77777777" w:rsidR="007D3163" w:rsidRDefault="007D3163" w:rsidP="008C777B">
      <w:r>
        <w:separator/>
      </w:r>
    </w:p>
  </w:endnote>
  <w:endnote w:type="continuationSeparator" w:id="0">
    <w:p w14:paraId="6F13673C" w14:textId="77777777" w:rsidR="007D3163" w:rsidRDefault="007D3163" w:rsidP="008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A8CD" w14:textId="77777777" w:rsidR="009D472B" w:rsidRDefault="007D3163"/>
  <w:p w14:paraId="362C887B" w14:textId="77777777" w:rsidR="00BA1886" w:rsidRDefault="007D3163">
    <w:r>
      <w:rPr>
        <w:sz w:val="22"/>
        <w:szCs w:val="22"/>
      </w:rPr>
      <w:t>Решение: N062893</w:t>
    </w:r>
    <w:r>
      <w:rPr>
        <w:sz w:val="22"/>
        <w:szCs w:val="22"/>
      </w:rPr>
      <w:br/>
      <w:t>Дата решения: 02.05.2023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Кашкымбаева</w:t>
    </w:r>
    <w:proofErr w:type="spellEnd"/>
    <w:r>
      <w:rPr>
        <w:sz w:val="22"/>
        <w:szCs w:val="22"/>
      </w:rPr>
      <w:t xml:space="preserve"> Л. Р.</w:t>
    </w:r>
    <w:r>
      <w:rPr>
        <w:sz w:val="22"/>
        <w:szCs w:val="22"/>
      </w:rPr>
      <w:br/>
      <w:t>(Комитет медицинского и фармацевтического контроля Министерств</w:t>
    </w:r>
    <w:r>
      <w:rPr>
        <w:sz w:val="22"/>
        <w:szCs w:val="22"/>
      </w:rPr>
      <w:t>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3B5" w14:textId="77777777" w:rsidR="009D472B" w:rsidRDefault="007D3163"/>
  <w:p w14:paraId="1C982EE8" w14:textId="3E64A9B2" w:rsidR="00BA1886" w:rsidRDefault="00BA18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1D14" w14:textId="77777777" w:rsidR="009D472B" w:rsidRDefault="007D3163"/>
  <w:p w14:paraId="0E614915" w14:textId="77777777" w:rsidR="00BA1886" w:rsidRDefault="007D3163">
    <w:r>
      <w:rPr>
        <w:sz w:val="22"/>
        <w:szCs w:val="22"/>
      </w:rPr>
      <w:t>Решение: N062893</w:t>
    </w:r>
    <w:r>
      <w:rPr>
        <w:sz w:val="22"/>
        <w:szCs w:val="22"/>
      </w:rPr>
      <w:br/>
      <w:t>Дата решения: 02.05.2023</w:t>
    </w:r>
    <w:r>
      <w:rPr>
        <w:sz w:val="22"/>
        <w:szCs w:val="22"/>
      </w:rPr>
      <w:br/>
      <w:t>Фа</w:t>
    </w:r>
    <w:r>
      <w:rPr>
        <w:sz w:val="22"/>
        <w:szCs w:val="22"/>
      </w:rPr>
      <w:t xml:space="preserve">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Кашкымбаева</w:t>
    </w:r>
    <w:proofErr w:type="spellEnd"/>
    <w:r>
      <w:rPr>
        <w:sz w:val="22"/>
        <w:szCs w:val="22"/>
      </w:rPr>
      <w:t xml:space="preserve"> Л. Р.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</w:t>
    </w:r>
    <w:r>
      <w:rPr>
        <w:sz w:val="22"/>
        <w:szCs w:val="22"/>
      </w:rPr>
      <w:t xml:space="preserve">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8154" w14:textId="77777777" w:rsidR="007D3163" w:rsidRDefault="007D3163" w:rsidP="008C777B">
      <w:r>
        <w:separator/>
      </w:r>
    </w:p>
  </w:footnote>
  <w:footnote w:type="continuationSeparator" w:id="0">
    <w:p w14:paraId="4E830932" w14:textId="77777777" w:rsidR="007D3163" w:rsidRDefault="007D3163" w:rsidP="008C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D1B0" w14:textId="77777777" w:rsidR="00C56694" w:rsidRDefault="005C7ABD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99A68" wp14:editId="3F55467F">
              <wp:simplePos x="0" y="0"/>
              <wp:positionH relativeFrom="column">
                <wp:posOffset>6099175</wp:posOffset>
              </wp:positionH>
              <wp:positionV relativeFrom="paragraph">
                <wp:posOffset>612140</wp:posOffset>
              </wp:positionV>
              <wp:extent cx="381000" cy="3742055"/>
              <wp:effectExtent l="317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FF24F" w14:textId="77777777" w:rsidR="00C56694" w:rsidRPr="00F24E5F" w:rsidRDefault="00C5669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99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2pt;width:30pt;height:2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" stroked="f">
              <v:textbox style="layout-flow:vertical;mso-layout-flow-alt:bottom-to-top">
                <w:txbxContent>
                  <w:p w14:paraId="073FF24F" w14:textId="77777777" w:rsidR="00C56694" w:rsidRPr="00F24E5F" w:rsidRDefault="00C5669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7E5140" wp14:editId="19FFD94C">
              <wp:simplePos x="0" y="0"/>
              <wp:positionH relativeFrom="column">
                <wp:posOffset>6099175</wp:posOffset>
              </wp:positionH>
              <wp:positionV relativeFrom="paragraph">
                <wp:posOffset>612140</wp:posOffset>
              </wp:positionV>
              <wp:extent cx="381000" cy="8018780"/>
              <wp:effectExtent l="317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7D13" w14:textId="77777777" w:rsidR="00C56694" w:rsidRPr="00F24E5F" w:rsidRDefault="00C56694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E5140" id="Text Box 1" o:spid="_x0000_s1027" type="#_x0000_t202" style="position:absolute;margin-left:480.25pt;margin-top:48.2pt;width:30pt;height:6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" stroked="f">
              <v:textbox style="layout-flow:vertical;mso-layout-flow-alt:bottom-to-top">
                <w:txbxContent>
                  <w:p w14:paraId="0B8F7D13" w14:textId="77777777" w:rsidR="00C56694" w:rsidRPr="00F24E5F" w:rsidRDefault="00C56694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Описание: Description: BT_1000x858px" style="width:16.2pt;height:13.8pt;visibility:visible" o:bullet="t">
        <v:imagedata r:id="rId1" o:title=" BT_1000x858px"/>
      </v:shape>
    </w:pict>
  </w:numPicBullet>
  <w:abstractNum w:abstractNumId="0" w15:restartNumberingAfterBreak="0">
    <w:nsid w:val="FFFFFF7C"/>
    <w:multiLevelType w:val="singleLevel"/>
    <w:tmpl w:val="DF766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C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E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6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6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09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AD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C23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1757"/>
    <w:multiLevelType w:val="hybridMultilevel"/>
    <w:tmpl w:val="2464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90F29D6"/>
    <w:multiLevelType w:val="hybridMultilevel"/>
    <w:tmpl w:val="478AD166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046A6"/>
    <w:multiLevelType w:val="hybridMultilevel"/>
    <w:tmpl w:val="2084D914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227F4F"/>
    <w:multiLevelType w:val="hybridMultilevel"/>
    <w:tmpl w:val="BF2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66783"/>
    <w:multiLevelType w:val="hybridMultilevel"/>
    <w:tmpl w:val="D57CA3DC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34C0C"/>
    <w:multiLevelType w:val="hybridMultilevel"/>
    <w:tmpl w:val="3C6C52FC"/>
    <w:lvl w:ilvl="0" w:tplc="1124C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A3838"/>
    <w:multiLevelType w:val="hybridMultilevel"/>
    <w:tmpl w:val="F5BA85EE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B6297"/>
    <w:multiLevelType w:val="hybridMultilevel"/>
    <w:tmpl w:val="9B72FB0E"/>
    <w:lvl w:ilvl="0" w:tplc="DBD05BC8">
      <w:start w:val="8"/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9" w15:restartNumberingAfterBreak="0">
    <w:nsid w:val="51AE4BE4"/>
    <w:multiLevelType w:val="hybridMultilevel"/>
    <w:tmpl w:val="429CE0CC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66660"/>
    <w:multiLevelType w:val="hybridMultilevel"/>
    <w:tmpl w:val="92C65AC2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92395"/>
    <w:multiLevelType w:val="hybridMultilevel"/>
    <w:tmpl w:val="7EDADA5E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012E2"/>
    <w:multiLevelType w:val="hybridMultilevel"/>
    <w:tmpl w:val="E87ED11E"/>
    <w:lvl w:ilvl="0" w:tplc="82047B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5DA2"/>
    <w:multiLevelType w:val="hybridMultilevel"/>
    <w:tmpl w:val="D7348704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C30DF"/>
    <w:multiLevelType w:val="hybridMultilevel"/>
    <w:tmpl w:val="548AA652"/>
    <w:lvl w:ilvl="0" w:tplc="982E96AC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91683"/>
    <w:multiLevelType w:val="hybridMultilevel"/>
    <w:tmpl w:val="A4F617D0"/>
    <w:lvl w:ilvl="0" w:tplc="982E96A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0"/>
  </w:num>
  <w:num w:numId="16">
    <w:abstractNumId w:val="11"/>
  </w:num>
  <w:num w:numId="17">
    <w:abstractNumId w:val="18"/>
  </w:num>
  <w:num w:numId="18">
    <w:abstractNumId w:val="22"/>
  </w:num>
  <w:num w:numId="19">
    <w:abstractNumId w:val="15"/>
  </w:num>
  <w:num w:numId="20">
    <w:abstractNumId w:val="13"/>
  </w:num>
  <w:num w:numId="21">
    <w:abstractNumId w:val="24"/>
  </w:num>
  <w:num w:numId="22">
    <w:abstractNumId w:val="23"/>
  </w:num>
  <w:num w:numId="23">
    <w:abstractNumId w:val="21"/>
  </w:num>
  <w:num w:numId="24">
    <w:abstractNumId w:val="17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F7"/>
    <w:rsid w:val="00005AFD"/>
    <w:rsid w:val="00014714"/>
    <w:rsid w:val="00021AB0"/>
    <w:rsid w:val="00024C51"/>
    <w:rsid w:val="00030B96"/>
    <w:rsid w:val="00033737"/>
    <w:rsid w:val="00037076"/>
    <w:rsid w:val="00037F4A"/>
    <w:rsid w:val="000A76D5"/>
    <w:rsid w:val="000A7E52"/>
    <w:rsid w:val="000B2E7B"/>
    <w:rsid w:val="000C3F15"/>
    <w:rsid w:val="000C589C"/>
    <w:rsid w:val="000D2220"/>
    <w:rsid w:val="000D5708"/>
    <w:rsid w:val="000D6616"/>
    <w:rsid w:val="000E71A3"/>
    <w:rsid w:val="000F1B0C"/>
    <w:rsid w:val="000F3B76"/>
    <w:rsid w:val="00120AD4"/>
    <w:rsid w:val="00121E29"/>
    <w:rsid w:val="00124E1C"/>
    <w:rsid w:val="00140EC3"/>
    <w:rsid w:val="0014598F"/>
    <w:rsid w:val="00163499"/>
    <w:rsid w:val="001644C8"/>
    <w:rsid w:val="00165995"/>
    <w:rsid w:val="00166694"/>
    <w:rsid w:val="0017102B"/>
    <w:rsid w:val="0018578B"/>
    <w:rsid w:val="00196160"/>
    <w:rsid w:val="001A1474"/>
    <w:rsid w:val="001B664D"/>
    <w:rsid w:val="001C7441"/>
    <w:rsid w:val="001D15E3"/>
    <w:rsid w:val="001D2659"/>
    <w:rsid w:val="001D2AD4"/>
    <w:rsid w:val="001E31E0"/>
    <w:rsid w:val="001E674C"/>
    <w:rsid w:val="001E7421"/>
    <w:rsid w:val="002045D9"/>
    <w:rsid w:val="00205A9A"/>
    <w:rsid w:val="00214C12"/>
    <w:rsid w:val="002430E9"/>
    <w:rsid w:val="002442CD"/>
    <w:rsid w:val="00244F6D"/>
    <w:rsid w:val="00254E3C"/>
    <w:rsid w:val="0025743F"/>
    <w:rsid w:val="00264AE2"/>
    <w:rsid w:val="00271C30"/>
    <w:rsid w:val="002A1A3C"/>
    <w:rsid w:val="002A3A27"/>
    <w:rsid w:val="002A56C8"/>
    <w:rsid w:val="002B6755"/>
    <w:rsid w:val="002C65AE"/>
    <w:rsid w:val="002C6C2B"/>
    <w:rsid w:val="002D1785"/>
    <w:rsid w:val="002D494D"/>
    <w:rsid w:val="002F2BE9"/>
    <w:rsid w:val="002F63C6"/>
    <w:rsid w:val="00300842"/>
    <w:rsid w:val="003167D0"/>
    <w:rsid w:val="00323F7C"/>
    <w:rsid w:val="00325BA0"/>
    <w:rsid w:val="0032762D"/>
    <w:rsid w:val="003365BA"/>
    <w:rsid w:val="00341D1B"/>
    <w:rsid w:val="003522DA"/>
    <w:rsid w:val="0036361A"/>
    <w:rsid w:val="00373C8C"/>
    <w:rsid w:val="00383DCD"/>
    <w:rsid w:val="00396C11"/>
    <w:rsid w:val="003A38BE"/>
    <w:rsid w:val="003A71C9"/>
    <w:rsid w:val="003B14A9"/>
    <w:rsid w:val="003B2AE8"/>
    <w:rsid w:val="003D28F0"/>
    <w:rsid w:val="003E0B4A"/>
    <w:rsid w:val="003F28D5"/>
    <w:rsid w:val="004006D5"/>
    <w:rsid w:val="00407ACE"/>
    <w:rsid w:val="004108F4"/>
    <w:rsid w:val="00417089"/>
    <w:rsid w:val="00417A87"/>
    <w:rsid w:val="0042259A"/>
    <w:rsid w:val="004346B7"/>
    <w:rsid w:val="00450864"/>
    <w:rsid w:val="00454FB8"/>
    <w:rsid w:val="00462F16"/>
    <w:rsid w:val="0047616F"/>
    <w:rsid w:val="00477DF5"/>
    <w:rsid w:val="00487E1B"/>
    <w:rsid w:val="004B1C6F"/>
    <w:rsid w:val="004C5E5C"/>
    <w:rsid w:val="004E6424"/>
    <w:rsid w:val="004F6D17"/>
    <w:rsid w:val="004F721F"/>
    <w:rsid w:val="005278BF"/>
    <w:rsid w:val="00533B92"/>
    <w:rsid w:val="00534607"/>
    <w:rsid w:val="005402E1"/>
    <w:rsid w:val="0055043F"/>
    <w:rsid w:val="00552A2D"/>
    <w:rsid w:val="00570EF2"/>
    <w:rsid w:val="005B1068"/>
    <w:rsid w:val="005B6741"/>
    <w:rsid w:val="005C7ABD"/>
    <w:rsid w:val="005E1E7A"/>
    <w:rsid w:val="005E58B9"/>
    <w:rsid w:val="005F4535"/>
    <w:rsid w:val="00605DD4"/>
    <w:rsid w:val="00626322"/>
    <w:rsid w:val="006316EB"/>
    <w:rsid w:val="00632E19"/>
    <w:rsid w:val="00641369"/>
    <w:rsid w:val="00644A0E"/>
    <w:rsid w:val="00650AC7"/>
    <w:rsid w:val="006535D0"/>
    <w:rsid w:val="00674BD4"/>
    <w:rsid w:val="00681316"/>
    <w:rsid w:val="006B0632"/>
    <w:rsid w:val="006C6FED"/>
    <w:rsid w:val="006D125B"/>
    <w:rsid w:val="006D1EBD"/>
    <w:rsid w:val="006E7199"/>
    <w:rsid w:val="006F4529"/>
    <w:rsid w:val="006F50C0"/>
    <w:rsid w:val="007000F7"/>
    <w:rsid w:val="00701BBC"/>
    <w:rsid w:val="00702614"/>
    <w:rsid w:val="00706EE4"/>
    <w:rsid w:val="0071638A"/>
    <w:rsid w:val="00737D22"/>
    <w:rsid w:val="00745730"/>
    <w:rsid w:val="007516BF"/>
    <w:rsid w:val="00755BF6"/>
    <w:rsid w:val="00755FF8"/>
    <w:rsid w:val="00761287"/>
    <w:rsid w:val="00773FDA"/>
    <w:rsid w:val="007A752A"/>
    <w:rsid w:val="007B262C"/>
    <w:rsid w:val="007D3163"/>
    <w:rsid w:val="007D43BE"/>
    <w:rsid w:val="007D450F"/>
    <w:rsid w:val="007E4B9D"/>
    <w:rsid w:val="007E6334"/>
    <w:rsid w:val="007E66DB"/>
    <w:rsid w:val="007F3732"/>
    <w:rsid w:val="00805895"/>
    <w:rsid w:val="00807F7A"/>
    <w:rsid w:val="00812FD5"/>
    <w:rsid w:val="0083034A"/>
    <w:rsid w:val="00835A72"/>
    <w:rsid w:val="00842457"/>
    <w:rsid w:val="00843E84"/>
    <w:rsid w:val="0086720A"/>
    <w:rsid w:val="0087113C"/>
    <w:rsid w:val="00876679"/>
    <w:rsid w:val="00891ED0"/>
    <w:rsid w:val="008945F0"/>
    <w:rsid w:val="008A4A97"/>
    <w:rsid w:val="008A71B3"/>
    <w:rsid w:val="008C6AE5"/>
    <w:rsid w:val="008C777B"/>
    <w:rsid w:val="008E063D"/>
    <w:rsid w:val="008E29CF"/>
    <w:rsid w:val="008F6A2F"/>
    <w:rsid w:val="00900B21"/>
    <w:rsid w:val="00914EBC"/>
    <w:rsid w:val="009232BC"/>
    <w:rsid w:val="00924D12"/>
    <w:rsid w:val="0092643D"/>
    <w:rsid w:val="009300A8"/>
    <w:rsid w:val="009458A8"/>
    <w:rsid w:val="009510C8"/>
    <w:rsid w:val="0095788D"/>
    <w:rsid w:val="009700C3"/>
    <w:rsid w:val="00972BF0"/>
    <w:rsid w:val="00987C29"/>
    <w:rsid w:val="00997831"/>
    <w:rsid w:val="009A4076"/>
    <w:rsid w:val="009B151E"/>
    <w:rsid w:val="009B5CC0"/>
    <w:rsid w:val="009B7998"/>
    <w:rsid w:val="009E6751"/>
    <w:rsid w:val="009E6CF6"/>
    <w:rsid w:val="00A15272"/>
    <w:rsid w:val="00A15B42"/>
    <w:rsid w:val="00A27F1B"/>
    <w:rsid w:val="00A32A38"/>
    <w:rsid w:val="00A36A74"/>
    <w:rsid w:val="00A429D7"/>
    <w:rsid w:val="00A57458"/>
    <w:rsid w:val="00A620BF"/>
    <w:rsid w:val="00A94B74"/>
    <w:rsid w:val="00A9706E"/>
    <w:rsid w:val="00AA4991"/>
    <w:rsid w:val="00AB173E"/>
    <w:rsid w:val="00AB256F"/>
    <w:rsid w:val="00AB757D"/>
    <w:rsid w:val="00AC0000"/>
    <w:rsid w:val="00AC07CA"/>
    <w:rsid w:val="00AC37B0"/>
    <w:rsid w:val="00AD0A6F"/>
    <w:rsid w:val="00AD3D22"/>
    <w:rsid w:val="00AD750F"/>
    <w:rsid w:val="00AE2E75"/>
    <w:rsid w:val="00B01B39"/>
    <w:rsid w:val="00B032FB"/>
    <w:rsid w:val="00B11AC3"/>
    <w:rsid w:val="00B16AEC"/>
    <w:rsid w:val="00B278F6"/>
    <w:rsid w:val="00B331B7"/>
    <w:rsid w:val="00B34D37"/>
    <w:rsid w:val="00B54D6D"/>
    <w:rsid w:val="00B567C7"/>
    <w:rsid w:val="00B702B3"/>
    <w:rsid w:val="00B705DB"/>
    <w:rsid w:val="00B76664"/>
    <w:rsid w:val="00B864D4"/>
    <w:rsid w:val="00BA1886"/>
    <w:rsid w:val="00BC2630"/>
    <w:rsid w:val="00BC4ED2"/>
    <w:rsid w:val="00BC558C"/>
    <w:rsid w:val="00BF1562"/>
    <w:rsid w:val="00BF2C57"/>
    <w:rsid w:val="00BF4068"/>
    <w:rsid w:val="00C0227D"/>
    <w:rsid w:val="00C03872"/>
    <w:rsid w:val="00C03BA0"/>
    <w:rsid w:val="00C11B36"/>
    <w:rsid w:val="00C2607E"/>
    <w:rsid w:val="00C30CA8"/>
    <w:rsid w:val="00C31D6E"/>
    <w:rsid w:val="00C33F13"/>
    <w:rsid w:val="00C3466B"/>
    <w:rsid w:val="00C34E90"/>
    <w:rsid w:val="00C56694"/>
    <w:rsid w:val="00C666BD"/>
    <w:rsid w:val="00C704FA"/>
    <w:rsid w:val="00C748B6"/>
    <w:rsid w:val="00C77BCE"/>
    <w:rsid w:val="00C81422"/>
    <w:rsid w:val="00C91882"/>
    <w:rsid w:val="00C96D2F"/>
    <w:rsid w:val="00CC3219"/>
    <w:rsid w:val="00CD0558"/>
    <w:rsid w:val="00CD2168"/>
    <w:rsid w:val="00CD251F"/>
    <w:rsid w:val="00CD597C"/>
    <w:rsid w:val="00CD5984"/>
    <w:rsid w:val="00CE0020"/>
    <w:rsid w:val="00CE0A4B"/>
    <w:rsid w:val="00D11F71"/>
    <w:rsid w:val="00D12AAA"/>
    <w:rsid w:val="00D372A7"/>
    <w:rsid w:val="00D524B0"/>
    <w:rsid w:val="00D5542E"/>
    <w:rsid w:val="00D75911"/>
    <w:rsid w:val="00D77EFB"/>
    <w:rsid w:val="00D81C92"/>
    <w:rsid w:val="00D93EBA"/>
    <w:rsid w:val="00D94471"/>
    <w:rsid w:val="00D96C26"/>
    <w:rsid w:val="00DA366B"/>
    <w:rsid w:val="00DA3767"/>
    <w:rsid w:val="00DC2927"/>
    <w:rsid w:val="00DC5BD1"/>
    <w:rsid w:val="00DD4F25"/>
    <w:rsid w:val="00DF71A0"/>
    <w:rsid w:val="00E2119A"/>
    <w:rsid w:val="00E3229B"/>
    <w:rsid w:val="00E351B6"/>
    <w:rsid w:val="00E45E93"/>
    <w:rsid w:val="00E555C6"/>
    <w:rsid w:val="00E6073D"/>
    <w:rsid w:val="00E7228E"/>
    <w:rsid w:val="00E80573"/>
    <w:rsid w:val="00E8270B"/>
    <w:rsid w:val="00E82FB2"/>
    <w:rsid w:val="00EA04E0"/>
    <w:rsid w:val="00EA147C"/>
    <w:rsid w:val="00EC48D1"/>
    <w:rsid w:val="00EC76DE"/>
    <w:rsid w:val="00ED2BF9"/>
    <w:rsid w:val="00EE0CFD"/>
    <w:rsid w:val="00EE19A0"/>
    <w:rsid w:val="00EE3372"/>
    <w:rsid w:val="00EF0276"/>
    <w:rsid w:val="00F03378"/>
    <w:rsid w:val="00F037A7"/>
    <w:rsid w:val="00F04C58"/>
    <w:rsid w:val="00F10F91"/>
    <w:rsid w:val="00F11489"/>
    <w:rsid w:val="00F14F66"/>
    <w:rsid w:val="00F24E5F"/>
    <w:rsid w:val="00F45C6F"/>
    <w:rsid w:val="00F46C03"/>
    <w:rsid w:val="00F665F2"/>
    <w:rsid w:val="00F768E7"/>
    <w:rsid w:val="00F77F88"/>
    <w:rsid w:val="00FB0E59"/>
    <w:rsid w:val="00FC4B76"/>
    <w:rsid w:val="00FC6FF0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B4336"/>
  <w15:docId w15:val="{2369CC70-3903-4373-9079-3DA75F8B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F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2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D598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9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533B92"/>
    <w:pPr>
      <w:keepNext/>
      <w:jc w:val="both"/>
      <w:outlineLvl w:val="3"/>
    </w:pPr>
    <w:rPr>
      <w:szCs w:val="24"/>
      <w:u w:val="single"/>
      <w:lang w:val="uk-UA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9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00F7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link w:val="a3"/>
    <w:uiPriority w:val="99"/>
    <w:rsid w:val="007000F7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000F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000F7"/>
  </w:style>
  <w:style w:type="paragraph" w:customStyle="1" w:styleId="WW-2">
    <w:name w:val="WW-Основной текст 2"/>
    <w:basedOn w:val="a"/>
    <w:rsid w:val="007000F7"/>
    <w:pPr>
      <w:suppressAutoHyphens/>
      <w:spacing w:line="360" w:lineRule="auto"/>
    </w:pPr>
    <w:rPr>
      <w:rFonts w:cs="Arial"/>
      <w:sz w:val="28"/>
      <w:lang w:val="pl-PL" w:eastAsia="ar-SA"/>
    </w:rPr>
  </w:style>
  <w:style w:type="paragraph" w:styleId="21">
    <w:name w:val="List 2"/>
    <w:basedOn w:val="a"/>
    <w:rsid w:val="007000F7"/>
    <w:pPr>
      <w:ind w:left="566" w:hanging="283"/>
    </w:pPr>
    <w:rPr>
      <w:rFonts w:ascii="CG Times" w:hAnsi="CG Times"/>
      <w:lang w:val="pl-PL"/>
    </w:rPr>
  </w:style>
  <w:style w:type="paragraph" w:styleId="a8">
    <w:name w:val="List"/>
    <w:basedOn w:val="a"/>
    <w:rsid w:val="007000F7"/>
    <w:pPr>
      <w:ind w:left="283" w:hanging="283"/>
    </w:pPr>
  </w:style>
  <w:style w:type="paragraph" w:styleId="a9">
    <w:name w:val="Body Text Indent"/>
    <w:basedOn w:val="a"/>
    <w:link w:val="aa"/>
    <w:rsid w:val="007000F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List Continue 2"/>
    <w:basedOn w:val="a"/>
    <w:rsid w:val="007000F7"/>
    <w:pPr>
      <w:spacing w:after="120"/>
      <w:ind w:left="566"/>
    </w:pPr>
  </w:style>
  <w:style w:type="paragraph" w:styleId="31">
    <w:name w:val="Body Text 3"/>
    <w:basedOn w:val="a"/>
    <w:link w:val="32"/>
    <w:rsid w:val="007000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00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Утверждаю"/>
    <w:basedOn w:val="a"/>
    <w:rsid w:val="00264AE2"/>
    <w:pPr>
      <w:suppressAutoHyphens/>
      <w:ind w:left="4395" w:right="-74"/>
    </w:pPr>
    <w:rPr>
      <w:rFonts w:ascii="Arial" w:eastAsia="Batang" w:hAnsi="Arial"/>
    </w:rPr>
  </w:style>
  <w:style w:type="paragraph" w:customStyle="1" w:styleId="ac">
    <w:name w:val="[О] Заголовок"/>
    <w:rsid w:val="00264AE2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character" w:styleId="ad">
    <w:name w:val="Hyperlink"/>
    <w:uiPriority w:val="99"/>
    <w:unhideWhenUsed/>
    <w:rsid w:val="00264AE2"/>
    <w:rPr>
      <w:color w:val="0563C1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E0C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E0CFD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uiPriority w:val="9"/>
    <w:rsid w:val="00CD5984"/>
    <w:rPr>
      <w:rFonts w:ascii="Times New Roman" w:eastAsia="Times New Roman" w:hAnsi="Times New Roman"/>
      <w:b/>
      <w:sz w:val="28"/>
    </w:rPr>
  </w:style>
  <w:style w:type="paragraph" w:styleId="ae">
    <w:name w:val="header"/>
    <w:basedOn w:val="a"/>
    <w:link w:val="af"/>
    <w:uiPriority w:val="99"/>
    <w:unhideWhenUsed/>
    <w:rsid w:val="003F28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F28D5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AB0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21AB0"/>
    <w:rPr>
      <w:rFonts w:ascii="Courier New" w:eastAsia="Times New Roman" w:hAnsi="Courier New" w:cs="Courier New"/>
    </w:rPr>
  </w:style>
  <w:style w:type="paragraph" w:styleId="af0">
    <w:name w:val="List Continue"/>
    <w:basedOn w:val="a"/>
    <w:uiPriority w:val="99"/>
    <w:semiHidden/>
    <w:unhideWhenUsed/>
    <w:rsid w:val="0047616F"/>
    <w:pPr>
      <w:spacing w:after="120"/>
      <w:ind w:left="283"/>
      <w:contextualSpacing/>
    </w:pPr>
  </w:style>
  <w:style w:type="paragraph" w:styleId="25">
    <w:name w:val="Body Text 2"/>
    <w:basedOn w:val="a"/>
    <w:link w:val="26"/>
    <w:uiPriority w:val="99"/>
    <w:semiHidden/>
    <w:unhideWhenUsed/>
    <w:rsid w:val="009B151E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B151E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D372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33B92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533B92"/>
    <w:rPr>
      <w:rFonts w:ascii="Times New Roman" w:eastAsia="Times New Roman" w:hAnsi="Times New Roman"/>
      <w:sz w:val="24"/>
      <w:szCs w:val="24"/>
      <w:u w:val="single"/>
      <w:lang w:val="uk-UA" w:eastAsia="x-none"/>
    </w:rPr>
  </w:style>
  <w:style w:type="character" w:customStyle="1" w:styleId="50">
    <w:name w:val="Заголовок 5 Знак"/>
    <w:link w:val="5"/>
    <w:uiPriority w:val="9"/>
    <w:semiHidden/>
    <w:rsid w:val="00533B92"/>
    <w:rPr>
      <w:rFonts w:eastAsia="Times New Roman"/>
      <w:b/>
      <w:bCs/>
      <w:i/>
      <w:iCs/>
      <w:sz w:val="26"/>
      <w:szCs w:val="26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33B92"/>
  </w:style>
  <w:style w:type="paragraph" w:customStyle="1" w:styleId="af1">
    <w:name w:val="Без інтервалів"/>
    <w:uiPriority w:val="1"/>
    <w:qFormat/>
    <w:rsid w:val="00533B92"/>
    <w:rPr>
      <w:sz w:val="22"/>
      <w:szCs w:val="22"/>
      <w:lang w:val="en-US" w:eastAsia="en-US"/>
    </w:rPr>
  </w:style>
  <w:style w:type="paragraph" w:styleId="af2">
    <w:name w:val="Balloon Text"/>
    <w:basedOn w:val="a"/>
    <w:link w:val="af3"/>
    <w:semiHidden/>
    <w:rsid w:val="00533B92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link w:val="af2"/>
    <w:semiHidden/>
    <w:rsid w:val="00533B92"/>
    <w:rPr>
      <w:rFonts w:ascii="Tahoma" w:hAnsi="Tahoma" w:cs="Tahoma"/>
      <w:sz w:val="16"/>
      <w:szCs w:val="16"/>
      <w:lang w:val="en-US" w:eastAsia="en-US"/>
    </w:rPr>
  </w:style>
  <w:style w:type="paragraph" w:customStyle="1" w:styleId="Text1">
    <w:name w:val="Text 1"/>
    <w:basedOn w:val="a"/>
    <w:rsid w:val="00533B92"/>
    <w:pPr>
      <w:autoSpaceDE w:val="0"/>
      <w:autoSpaceDN w:val="0"/>
      <w:adjustRightInd w:val="0"/>
      <w:spacing w:before="120"/>
    </w:pPr>
    <w:rPr>
      <w:rFonts w:ascii="Arial" w:hAnsi="Arial"/>
      <w:lang w:val="en-US" w:eastAsia="en-GB"/>
    </w:rPr>
  </w:style>
  <w:style w:type="character" w:customStyle="1" w:styleId="FontStyle42">
    <w:name w:val="Font Style42"/>
    <w:rsid w:val="00533B9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36">
    <w:name w:val="Font Style36"/>
    <w:rsid w:val="00533B9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533B92"/>
    <w:pPr>
      <w:widowControl w:val="0"/>
      <w:autoSpaceDE w:val="0"/>
      <w:autoSpaceDN w:val="0"/>
      <w:adjustRightInd w:val="0"/>
      <w:spacing w:line="250" w:lineRule="exact"/>
      <w:jc w:val="both"/>
    </w:pPr>
    <w:rPr>
      <w:szCs w:val="24"/>
    </w:rPr>
  </w:style>
  <w:style w:type="table" w:styleId="af4">
    <w:name w:val="Table Grid"/>
    <w:basedOn w:val="a1"/>
    <w:rsid w:val="00533B9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533B92"/>
    <w:pPr>
      <w:widowControl w:val="0"/>
      <w:autoSpaceDE w:val="0"/>
      <w:autoSpaceDN w:val="0"/>
      <w:adjustRightInd w:val="0"/>
      <w:spacing w:line="206" w:lineRule="exact"/>
      <w:jc w:val="both"/>
    </w:pPr>
    <w:rPr>
      <w:szCs w:val="24"/>
    </w:rPr>
  </w:style>
  <w:style w:type="paragraph" w:customStyle="1" w:styleId="Style26">
    <w:name w:val="Style26"/>
    <w:basedOn w:val="a"/>
    <w:rsid w:val="00533B92"/>
    <w:pPr>
      <w:widowControl w:val="0"/>
      <w:autoSpaceDE w:val="0"/>
      <w:autoSpaceDN w:val="0"/>
      <w:adjustRightInd w:val="0"/>
      <w:spacing w:line="206" w:lineRule="exact"/>
      <w:ind w:firstLine="77"/>
    </w:pPr>
    <w:rPr>
      <w:szCs w:val="24"/>
    </w:rPr>
  </w:style>
  <w:style w:type="paragraph" w:customStyle="1" w:styleId="Style27">
    <w:name w:val="Style27"/>
    <w:basedOn w:val="a"/>
    <w:rsid w:val="00533B92"/>
    <w:pPr>
      <w:widowControl w:val="0"/>
      <w:autoSpaceDE w:val="0"/>
      <w:autoSpaceDN w:val="0"/>
      <w:adjustRightInd w:val="0"/>
      <w:spacing w:line="207" w:lineRule="exact"/>
    </w:pPr>
    <w:rPr>
      <w:szCs w:val="24"/>
    </w:rPr>
  </w:style>
  <w:style w:type="character" w:customStyle="1" w:styleId="FontStyle39">
    <w:name w:val="Font Style39"/>
    <w:rsid w:val="00533B9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533B92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character" w:customStyle="1" w:styleId="FontStyle40">
    <w:name w:val="Font Style40"/>
    <w:rsid w:val="00533B9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rsid w:val="00533B92"/>
    <w:rPr>
      <w:rFonts w:ascii="Times New Roman" w:hAnsi="Times New Roman" w:cs="Times New Roman"/>
      <w:b/>
      <w:bCs/>
      <w:sz w:val="20"/>
      <w:szCs w:val="20"/>
    </w:rPr>
  </w:style>
  <w:style w:type="character" w:styleId="af5">
    <w:name w:val="annotation reference"/>
    <w:semiHidden/>
    <w:rsid w:val="00533B92"/>
    <w:rPr>
      <w:sz w:val="16"/>
      <w:szCs w:val="16"/>
    </w:rPr>
  </w:style>
  <w:style w:type="paragraph" w:styleId="af6">
    <w:name w:val="annotation text"/>
    <w:basedOn w:val="a"/>
    <w:link w:val="af7"/>
    <w:semiHidden/>
    <w:rsid w:val="00533B92"/>
    <w:pPr>
      <w:spacing w:after="200" w:line="276" w:lineRule="auto"/>
    </w:pPr>
    <w:rPr>
      <w:rFonts w:ascii="Calibri" w:eastAsia="Calibri" w:hAnsi="Calibri"/>
      <w:sz w:val="20"/>
      <w:lang w:val="en-US" w:eastAsia="en-US"/>
    </w:rPr>
  </w:style>
  <w:style w:type="character" w:customStyle="1" w:styleId="af7">
    <w:name w:val="Текст примечания Знак"/>
    <w:link w:val="af6"/>
    <w:semiHidden/>
    <w:rsid w:val="00533B92"/>
    <w:rPr>
      <w:lang w:val="en-US" w:eastAsia="en-US"/>
    </w:rPr>
  </w:style>
  <w:style w:type="paragraph" w:styleId="af8">
    <w:name w:val="annotation subject"/>
    <w:basedOn w:val="af6"/>
    <w:next w:val="af6"/>
    <w:link w:val="af9"/>
    <w:semiHidden/>
    <w:rsid w:val="00533B92"/>
    <w:rPr>
      <w:b/>
      <w:bCs/>
    </w:rPr>
  </w:style>
  <w:style w:type="character" w:customStyle="1" w:styleId="af9">
    <w:name w:val="Тема примечания Знак"/>
    <w:link w:val="af8"/>
    <w:semiHidden/>
    <w:rsid w:val="00533B92"/>
    <w:rPr>
      <w:b/>
      <w:bCs/>
      <w:lang w:val="en-US" w:eastAsia="en-US"/>
    </w:rPr>
  </w:style>
  <w:style w:type="paragraph" w:customStyle="1" w:styleId="Style2">
    <w:name w:val="Style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rmalWeb1">
    <w:name w:val="Normal (Web)1"/>
    <w:basedOn w:val="a"/>
    <w:rsid w:val="00533B92"/>
    <w:pPr>
      <w:suppressAutoHyphens/>
      <w:spacing w:before="280" w:after="75"/>
    </w:pPr>
    <w:rPr>
      <w:color w:val="000000"/>
      <w:szCs w:val="24"/>
      <w:lang w:eastAsia="ar-SA"/>
    </w:rPr>
  </w:style>
  <w:style w:type="paragraph" w:styleId="afa">
    <w:name w:val="Plain Text"/>
    <w:basedOn w:val="a"/>
    <w:link w:val="afb"/>
    <w:rsid w:val="00533B92"/>
    <w:rPr>
      <w:rFonts w:ascii="Courier New" w:hAnsi="Courier New"/>
      <w:sz w:val="20"/>
    </w:rPr>
  </w:style>
  <w:style w:type="character" w:customStyle="1" w:styleId="afb">
    <w:name w:val="Текст Знак"/>
    <w:link w:val="afa"/>
    <w:rsid w:val="00533B92"/>
    <w:rPr>
      <w:rFonts w:ascii="Courier New" w:eastAsia="Times New Roman" w:hAnsi="Courier New"/>
    </w:rPr>
  </w:style>
  <w:style w:type="paragraph" w:customStyle="1" w:styleId="ConsPlusNormal">
    <w:name w:val="ConsPlusNormal"/>
    <w:rsid w:val="00533B92"/>
    <w:pPr>
      <w:widowControl w:val="0"/>
      <w:ind w:firstLine="720"/>
    </w:pPr>
    <w:rPr>
      <w:rFonts w:ascii="Arial" w:eastAsia="Times New Roman" w:hAnsi="Arial" w:cs="Arial"/>
    </w:rPr>
  </w:style>
  <w:style w:type="paragraph" w:styleId="afc">
    <w:name w:val="Revision"/>
    <w:hidden/>
    <w:uiPriority w:val="99"/>
    <w:semiHidden/>
    <w:rsid w:val="00533B92"/>
    <w:rPr>
      <w:sz w:val="22"/>
      <w:szCs w:val="22"/>
      <w:lang w:val="en-US" w:eastAsia="en-US"/>
    </w:rPr>
  </w:style>
  <w:style w:type="paragraph" w:styleId="afd">
    <w:name w:val="List Paragraph"/>
    <w:basedOn w:val="a"/>
    <w:uiPriority w:val="34"/>
    <w:qFormat/>
    <w:rsid w:val="00835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835A72"/>
    <w:pPr>
      <w:spacing w:before="100" w:beforeAutospacing="1" w:after="100" w:afterAutospacing="1"/>
    </w:pPr>
    <w:rPr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C56694"/>
  </w:style>
  <w:style w:type="numbering" w:customStyle="1" w:styleId="110">
    <w:name w:val="Нет списка11"/>
    <w:next w:val="a2"/>
    <w:uiPriority w:val="99"/>
    <w:semiHidden/>
    <w:unhideWhenUsed/>
    <w:rsid w:val="00C56694"/>
  </w:style>
  <w:style w:type="table" w:customStyle="1" w:styleId="12">
    <w:name w:val="Сетка таблицы1"/>
    <w:basedOn w:val="a1"/>
    <w:next w:val="af4"/>
    <w:rsid w:val="00C566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25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8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53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6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85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93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5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2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9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7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40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75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3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18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5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7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6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197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54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4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uruslab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ina.volovnik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7443</Words>
  <Characters>42427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49771</CharactersWithSpaces>
  <SharedDoc>false</SharedDoc>
  <HLinks>
    <vt:vector size="18" baseType="variant"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5308520</vt:i4>
      </vt:variant>
      <vt:variant>
        <vt:i4>3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Dell</cp:lastModifiedBy>
  <cp:revision>26</cp:revision>
  <cp:lastPrinted>2016-03-28T04:56:00Z</cp:lastPrinted>
  <dcterms:created xsi:type="dcterms:W3CDTF">2020-05-20T11:01:00Z</dcterms:created>
  <dcterms:modified xsi:type="dcterms:W3CDTF">2023-05-11T09:34:00Z</dcterms:modified>
</cp:coreProperties>
</file>